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626" w:rsidRDefault="00FE3626" w:rsidP="00FE3626">
      <w:pPr>
        <w:jc w:val="center"/>
        <w:rPr>
          <w:rStyle w:val="pagecontentall2"/>
          <w:rFonts w:ascii="Verdana" w:hAnsi="Verdana"/>
          <w:sz w:val="18"/>
          <w:szCs w:val="18"/>
        </w:rPr>
      </w:pPr>
      <w:r>
        <w:rPr>
          <w:rStyle w:val="pagecontentall2"/>
          <w:rFonts w:ascii="Verdana" w:hAnsi="Verdana"/>
          <w:b/>
          <w:bCs/>
          <w:sz w:val="36"/>
          <w:szCs w:val="36"/>
        </w:rPr>
        <w:t>软件项目管理的</w:t>
      </w:r>
      <w:r>
        <w:rPr>
          <w:rStyle w:val="pagecontentall2"/>
          <w:rFonts w:ascii="Verdana" w:hAnsi="Verdana"/>
          <w:b/>
          <w:bCs/>
          <w:sz w:val="36"/>
          <w:szCs w:val="36"/>
        </w:rPr>
        <w:t>10</w:t>
      </w:r>
      <w:r>
        <w:rPr>
          <w:rStyle w:val="pagecontentall2"/>
          <w:rFonts w:ascii="Verdana" w:hAnsi="Verdana"/>
          <w:b/>
          <w:bCs/>
          <w:sz w:val="36"/>
          <w:szCs w:val="36"/>
        </w:rPr>
        <w:t>项锦囊妙计</w:t>
      </w:r>
    </w:p>
    <w:p w:rsidR="00FE3626" w:rsidRPr="00D32320" w:rsidRDefault="00FE3626" w:rsidP="00FE3626">
      <w:pPr>
        <w:pStyle w:val="a5"/>
        <w:rPr>
          <w:b/>
        </w:rPr>
      </w:pPr>
      <w:r w:rsidRPr="00D32320">
        <w:rPr>
          <w:rStyle w:val="a8"/>
          <w:rFonts w:ascii="Verdana" w:hAnsi="Verdana"/>
          <w:sz w:val="18"/>
          <w:szCs w:val="18"/>
        </w:rPr>
        <w:t>演讲嘉宾</w:t>
      </w:r>
      <w:r w:rsidRPr="00D32320">
        <w:rPr>
          <w:rFonts w:ascii="Verdana" w:hAnsi="Verdana"/>
          <w:sz w:val="18"/>
          <w:szCs w:val="18"/>
        </w:rPr>
        <w:t>：</w:t>
      </w:r>
      <w:hyperlink r:id="rId7" w:tgtFrame="_blank" w:history="1">
        <w:r w:rsidRPr="00D32320">
          <w:rPr>
            <w:rStyle w:val="a7"/>
            <w:rFonts w:ascii="Verdana" w:hAnsi="Verdana"/>
            <w:b/>
            <w:color w:val="auto"/>
            <w:sz w:val="18"/>
            <w:szCs w:val="18"/>
          </w:rPr>
          <w:t xml:space="preserve">David.Wang - </w:t>
        </w:r>
        <w:r w:rsidRPr="00D32320">
          <w:rPr>
            <w:rStyle w:val="a7"/>
            <w:rFonts w:ascii="Verdana" w:hAnsi="Verdana"/>
            <w:b/>
            <w:color w:val="auto"/>
            <w:sz w:val="18"/>
            <w:szCs w:val="18"/>
          </w:rPr>
          <w:t>曾任职</w:t>
        </w:r>
        <w:r w:rsidRPr="00D32320">
          <w:rPr>
            <w:rStyle w:val="a7"/>
            <w:rFonts w:ascii="Verdana" w:hAnsi="Verdana"/>
            <w:b/>
            <w:color w:val="auto"/>
            <w:sz w:val="18"/>
            <w:szCs w:val="18"/>
          </w:rPr>
          <w:t>IBM</w:t>
        </w:r>
        <w:r w:rsidRPr="00D32320">
          <w:rPr>
            <w:rStyle w:val="a7"/>
            <w:rFonts w:ascii="Verdana" w:hAnsi="Verdana"/>
            <w:b/>
            <w:color w:val="auto"/>
            <w:sz w:val="18"/>
            <w:szCs w:val="18"/>
          </w:rPr>
          <w:t>公司过程改进经理，现麦思博（</w:t>
        </w:r>
        <w:r w:rsidRPr="00D32320">
          <w:rPr>
            <w:rStyle w:val="a7"/>
            <w:rFonts w:ascii="Verdana" w:hAnsi="Verdana"/>
            <w:b/>
            <w:color w:val="auto"/>
            <w:sz w:val="18"/>
            <w:szCs w:val="18"/>
          </w:rPr>
          <w:t>msup</w:t>
        </w:r>
        <w:r w:rsidRPr="00D32320">
          <w:rPr>
            <w:rStyle w:val="a7"/>
            <w:rFonts w:ascii="Verdana" w:hAnsi="Verdana"/>
            <w:b/>
            <w:color w:val="auto"/>
            <w:sz w:val="18"/>
            <w:szCs w:val="18"/>
          </w:rPr>
          <w:t>）有限公司资深顾问</w:t>
        </w:r>
      </w:hyperlink>
    </w:p>
    <w:p w:rsidR="00FE3626" w:rsidRPr="00FE3626" w:rsidRDefault="00FE3626" w:rsidP="00FE3626">
      <w:pPr>
        <w:widowControl/>
        <w:spacing w:line="360" w:lineRule="auto"/>
        <w:jc w:val="left"/>
        <w:rPr>
          <w:rFonts w:ascii="宋体" w:eastAsia="宋体" w:hAnsi="宋体" w:cs="宋体"/>
          <w:kern w:val="0"/>
          <w:sz w:val="24"/>
          <w:szCs w:val="24"/>
        </w:rPr>
      </w:pPr>
      <w:r w:rsidRPr="00FE3626">
        <w:rPr>
          <w:rFonts w:ascii="宋体" w:eastAsia="宋体" w:hAnsi="宋体" w:cs="宋体" w:hint="eastAsia"/>
          <w:b/>
          <w:kern w:val="0"/>
          <w:sz w:val="18"/>
          <w:szCs w:val="18"/>
        </w:rPr>
        <w:t>讲师背景</w:t>
      </w:r>
    </w:p>
    <w:p w:rsidR="00FE3626" w:rsidRPr="00FE3626" w:rsidRDefault="00FE3626" w:rsidP="00FE3626">
      <w:pPr>
        <w:widowControl/>
        <w:jc w:val="left"/>
        <w:rPr>
          <w:rFonts w:ascii="Verdana" w:eastAsia="宋体" w:hAnsi="Verdana" w:cs="宋体"/>
          <w:kern w:val="0"/>
          <w:sz w:val="18"/>
          <w:szCs w:val="18"/>
        </w:rPr>
      </w:pPr>
      <w:r w:rsidRPr="00FE3626">
        <w:rPr>
          <w:rFonts w:ascii="Verdana" w:eastAsia="宋体" w:hAnsi="Verdana" w:cs="宋体" w:hint="eastAsia"/>
          <w:kern w:val="0"/>
          <w:sz w:val="18"/>
          <w:szCs w:val="18"/>
        </w:rPr>
        <w:t>曾先后供职于华为技术有限公司、</w:t>
      </w:r>
      <w:r w:rsidRPr="00FE3626">
        <w:rPr>
          <w:rFonts w:ascii="Verdana" w:eastAsia="宋体" w:hAnsi="Verdana" w:cs="宋体"/>
          <w:kern w:val="0"/>
          <w:sz w:val="18"/>
          <w:szCs w:val="18"/>
        </w:rPr>
        <w:t>IBM</w:t>
      </w:r>
      <w:r w:rsidRPr="00FE3626">
        <w:rPr>
          <w:rFonts w:ascii="Verdana" w:eastAsia="宋体" w:hAnsi="Verdana" w:cs="宋体" w:hint="eastAsia"/>
          <w:kern w:val="0"/>
          <w:sz w:val="18"/>
          <w:szCs w:val="18"/>
        </w:rPr>
        <w:t>和中移动无线数据研发中心等多个企业，担任过项目经理、</w:t>
      </w:r>
      <w:r w:rsidRPr="00FE3626">
        <w:rPr>
          <w:rFonts w:ascii="Verdana" w:eastAsia="宋体" w:hAnsi="Verdana" w:cs="宋体"/>
          <w:kern w:val="0"/>
          <w:sz w:val="18"/>
          <w:szCs w:val="18"/>
        </w:rPr>
        <w:t>QA</w:t>
      </w:r>
      <w:r w:rsidRPr="00FE3626">
        <w:rPr>
          <w:rFonts w:ascii="Verdana" w:eastAsia="宋体" w:hAnsi="Verdana" w:cs="宋体" w:hint="eastAsia"/>
          <w:kern w:val="0"/>
          <w:sz w:val="18"/>
          <w:szCs w:val="18"/>
        </w:rPr>
        <w:t>、质量管理部高级经理等多个职务。</w:t>
      </w:r>
      <w:r w:rsidRPr="00FE3626">
        <w:rPr>
          <w:rFonts w:ascii="Verdana" w:eastAsia="宋体" w:hAnsi="Verdana" w:cs="宋体"/>
          <w:kern w:val="0"/>
          <w:sz w:val="18"/>
          <w:szCs w:val="18"/>
        </w:rPr>
        <w:t xml:space="preserve"> </w:t>
      </w:r>
      <w:r w:rsidRPr="00FE3626">
        <w:rPr>
          <w:rFonts w:ascii="Verdana" w:eastAsia="宋体" w:hAnsi="Verdana" w:cs="宋体"/>
          <w:kern w:val="0"/>
          <w:sz w:val="18"/>
          <w:szCs w:val="18"/>
        </w:rPr>
        <w:br/>
      </w:r>
      <w:r w:rsidRPr="00FE3626">
        <w:rPr>
          <w:rFonts w:ascii="Verdana" w:eastAsia="宋体" w:hAnsi="Verdana" w:cs="宋体" w:hint="eastAsia"/>
          <w:kern w:val="0"/>
          <w:sz w:val="18"/>
          <w:szCs w:val="18"/>
        </w:rPr>
        <w:t>王小刚先生深厚的理论知识、丰富的咨询经验以及犀利而又不失亲和力的咨询风格使得他近年来在过程改进业界屡获殊荣</w:t>
      </w:r>
      <w:r w:rsidRPr="00FE3626">
        <w:rPr>
          <w:rFonts w:ascii="Verdana" w:eastAsia="宋体" w:hAnsi="Verdana" w:cs="宋体"/>
          <w:kern w:val="0"/>
          <w:sz w:val="18"/>
          <w:szCs w:val="18"/>
        </w:rPr>
        <w:br/>
        <w:t>- 2008</w:t>
      </w:r>
      <w:r w:rsidRPr="00FE3626">
        <w:rPr>
          <w:rFonts w:ascii="Verdana" w:eastAsia="宋体" w:hAnsi="Verdana" w:cs="宋体" w:hint="eastAsia"/>
          <w:kern w:val="0"/>
          <w:sz w:val="18"/>
          <w:szCs w:val="18"/>
        </w:rPr>
        <w:t>年度过程改进大会（</w:t>
      </w:r>
      <w:r w:rsidRPr="00FE3626">
        <w:rPr>
          <w:rFonts w:ascii="Verdana" w:eastAsia="宋体" w:hAnsi="Verdana" w:cs="宋体"/>
          <w:kern w:val="0"/>
          <w:sz w:val="18"/>
          <w:szCs w:val="18"/>
        </w:rPr>
        <w:t>CSPIN</w:t>
      </w:r>
      <w:r w:rsidRPr="00FE3626">
        <w:rPr>
          <w:rFonts w:ascii="Verdana" w:eastAsia="宋体" w:hAnsi="Verdana" w:cs="宋体" w:hint="eastAsia"/>
          <w:kern w:val="0"/>
          <w:sz w:val="18"/>
          <w:szCs w:val="18"/>
        </w:rPr>
        <w:t>，中国软件协会系统与过程改进分会），获得中国软件生产力风云榜</w:t>
      </w:r>
      <w:r w:rsidRPr="00FE3626">
        <w:rPr>
          <w:rFonts w:ascii="Verdana" w:eastAsia="宋体" w:hAnsi="Verdana" w:cs="宋体"/>
          <w:kern w:val="0"/>
          <w:sz w:val="18"/>
          <w:szCs w:val="18"/>
        </w:rPr>
        <w:t>“</w:t>
      </w:r>
      <w:r w:rsidRPr="00FE3626">
        <w:rPr>
          <w:rFonts w:ascii="Verdana" w:eastAsia="宋体" w:hAnsi="Verdana" w:cs="宋体" w:hint="eastAsia"/>
          <w:kern w:val="0"/>
          <w:sz w:val="18"/>
          <w:szCs w:val="18"/>
        </w:rPr>
        <w:t>新锐咨询师</w:t>
      </w:r>
      <w:r w:rsidRPr="00FE3626">
        <w:rPr>
          <w:rFonts w:ascii="Verdana" w:eastAsia="宋体" w:hAnsi="Verdana" w:cs="宋体"/>
          <w:kern w:val="0"/>
          <w:sz w:val="18"/>
          <w:szCs w:val="18"/>
        </w:rPr>
        <w:t>”</w:t>
      </w:r>
      <w:r w:rsidRPr="00FE3626">
        <w:rPr>
          <w:rFonts w:ascii="Verdana" w:eastAsia="宋体" w:hAnsi="Verdana" w:cs="宋体" w:hint="eastAsia"/>
          <w:kern w:val="0"/>
          <w:sz w:val="18"/>
          <w:szCs w:val="18"/>
        </w:rPr>
        <w:t>称号；</w:t>
      </w:r>
      <w:r w:rsidRPr="00FE3626">
        <w:rPr>
          <w:rFonts w:ascii="Verdana" w:eastAsia="宋体" w:hAnsi="Verdana" w:cs="宋体"/>
          <w:kern w:val="0"/>
          <w:sz w:val="18"/>
          <w:szCs w:val="18"/>
        </w:rPr>
        <w:t xml:space="preserve"> </w:t>
      </w:r>
      <w:r w:rsidRPr="00FE3626">
        <w:rPr>
          <w:rFonts w:ascii="Verdana" w:eastAsia="宋体" w:hAnsi="Verdana" w:cs="宋体"/>
          <w:kern w:val="0"/>
          <w:sz w:val="18"/>
          <w:szCs w:val="18"/>
        </w:rPr>
        <w:br/>
        <w:t>- 2008</w:t>
      </w:r>
      <w:r w:rsidRPr="00FE3626">
        <w:rPr>
          <w:rFonts w:ascii="Verdana" w:eastAsia="宋体" w:hAnsi="Verdana" w:cs="宋体" w:hint="eastAsia"/>
          <w:kern w:val="0"/>
          <w:sz w:val="18"/>
          <w:szCs w:val="18"/>
        </w:rPr>
        <w:t>年度中国</w:t>
      </w:r>
      <w:r w:rsidRPr="00FE3626">
        <w:rPr>
          <w:rFonts w:ascii="Verdana" w:eastAsia="宋体" w:hAnsi="Verdana" w:cs="宋体"/>
          <w:kern w:val="0"/>
          <w:sz w:val="18"/>
          <w:szCs w:val="18"/>
        </w:rPr>
        <w:t xml:space="preserve"> CMM/CMMI </w:t>
      </w:r>
      <w:r w:rsidRPr="00FE3626">
        <w:rPr>
          <w:rFonts w:ascii="Verdana" w:eastAsia="宋体" w:hAnsi="Verdana" w:cs="宋体" w:hint="eastAsia"/>
          <w:kern w:val="0"/>
          <w:sz w:val="18"/>
          <w:szCs w:val="18"/>
        </w:rPr>
        <w:t>咨询与评估行业年度人物和最佳案例评选活动中，获得</w:t>
      </w:r>
      <w:r w:rsidRPr="00FE3626">
        <w:rPr>
          <w:rFonts w:ascii="Verdana" w:eastAsia="宋体" w:hAnsi="Verdana" w:cs="宋体"/>
          <w:kern w:val="0"/>
          <w:sz w:val="18"/>
          <w:szCs w:val="18"/>
        </w:rPr>
        <w:t>“</w:t>
      </w:r>
      <w:r w:rsidRPr="00FE3626">
        <w:rPr>
          <w:rFonts w:ascii="Verdana" w:eastAsia="宋体" w:hAnsi="Verdana" w:cs="宋体" w:hint="eastAsia"/>
          <w:kern w:val="0"/>
          <w:sz w:val="18"/>
          <w:szCs w:val="18"/>
        </w:rPr>
        <w:t>行业年度人物</w:t>
      </w:r>
      <w:r w:rsidRPr="00FE3626">
        <w:rPr>
          <w:rFonts w:ascii="Verdana" w:eastAsia="宋体" w:hAnsi="Verdana" w:cs="宋体"/>
          <w:kern w:val="0"/>
          <w:sz w:val="18"/>
          <w:szCs w:val="18"/>
        </w:rPr>
        <w:t>”</w:t>
      </w:r>
      <w:r w:rsidRPr="00FE3626">
        <w:rPr>
          <w:rFonts w:ascii="Verdana" w:eastAsia="宋体" w:hAnsi="Verdana" w:cs="宋体" w:hint="eastAsia"/>
          <w:kern w:val="0"/>
          <w:sz w:val="18"/>
          <w:szCs w:val="18"/>
        </w:rPr>
        <w:t>和</w:t>
      </w:r>
      <w:r w:rsidRPr="00FE3626">
        <w:rPr>
          <w:rFonts w:ascii="Verdana" w:eastAsia="宋体" w:hAnsi="Verdana" w:cs="宋体"/>
          <w:kern w:val="0"/>
          <w:sz w:val="18"/>
          <w:szCs w:val="18"/>
        </w:rPr>
        <w:t>““</w:t>
      </w:r>
      <w:r w:rsidRPr="00FE3626">
        <w:rPr>
          <w:rFonts w:ascii="Verdana" w:eastAsia="宋体" w:hAnsi="Verdana" w:cs="宋体" w:hint="eastAsia"/>
          <w:kern w:val="0"/>
          <w:sz w:val="18"/>
          <w:szCs w:val="18"/>
        </w:rPr>
        <w:t>最佳实施案例</w:t>
      </w:r>
      <w:r w:rsidRPr="00FE3626">
        <w:rPr>
          <w:rFonts w:ascii="Verdana" w:eastAsia="宋体" w:hAnsi="Verdana" w:cs="宋体"/>
          <w:kern w:val="0"/>
          <w:sz w:val="18"/>
          <w:szCs w:val="18"/>
        </w:rPr>
        <w:t>”</w:t>
      </w:r>
      <w:r w:rsidRPr="00FE3626">
        <w:rPr>
          <w:rFonts w:ascii="Verdana" w:eastAsia="宋体" w:hAnsi="Verdana" w:cs="宋体" w:hint="eastAsia"/>
          <w:kern w:val="0"/>
          <w:sz w:val="18"/>
          <w:szCs w:val="18"/>
        </w:rPr>
        <w:t>两项提名；</w:t>
      </w:r>
      <w:r w:rsidRPr="00FE3626">
        <w:rPr>
          <w:rFonts w:ascii="Verdana" w:eastAsia="宋体" w:hAnsi="Verdana" w:cs="宋体"/>
          <w:kern w:val="0"/>
          <w:sz w:val="18"/>
          <w:szCs w:val="18"/>
        </w:rPr>
        <w:t xml:space="preserve"> </w:t>
      </w:r>
      <w:r w:rsidRPr="00FE3626">
        <w:rPr>
          <w:rFonts w:ascii="Verdana" w:eastAsia="宋体" w:hAnsi="Verdana" w:cs="宋体"/>
          <w:kern w:val="0"/>
          <w:sz w:val="18"/>
          <w:szCs w:val="18"/>
        </w:rPr>
        <w:br/>
        <w:t>- 2009</w:t>
      </w:r>
      <w:r w:rsidRPr="00FE3626">
        <w:rPr>
          <w:rFonts w:ascii="Verdana" w:eastAsia="宋体" w:hAnsi="Verdana" w:cs="宋体" w:hint="eastAsia"/>
          <w:kern w:val="0"/>
          <w:sz w:val="18"/>
          <w:szCs w:val="18"/>
        </w:rPr>
        <w:t>年度</w:t>
      </w:r>
      <w:r w:rsidRPr="00FE3626">
        <w:rPr>
          <w:rFonts w:ascii="Verdana" w:eastAsia="宋体" w:hAnsi="Verdana" w:cs="宋体"/>
          <w:kern w:val="0"/>
          <w:sz w:val="18"/>
          <w:szCs w:val="18"/>
        </w:rPr>
        <w:t xml:space="preserve"> CMM/CMMI </w:t>
      </w:r>
      <w:r w:rsidRPr="00FE3626">
        <w:rPr>
          <w:rFonts w:ascii="Verdana" w:eastAsia="宋体" w:hAnsi="Verdana" w:cs="宋体" w:hint="eastAsia"/>
          <w:kern w:val="0"/>
          <w:sz w:val="18"/>
          <w:szCs w:val="18"/>
        </w:rPr>
        <w:t>咨询与评估行业年度人物和最佳案例评选活动中，再度获得</w:t>
      </w:r>
      <w:r w:rsidRPr="00FE3626">
        <w:rPr>
          <w:rFonts w:ascii="Verdana" w:eastAsia="宋体" w:hAnsi="Verdana" w:cs="宋体"/>
          <w:kern w:val="0"/>
          <w:sz w:val="18"/>
          <w:szCs w:val="18"/>
        </w:rPr>
        <w:t>“</w:t>
      </w:r>
      <w:r w:rsidRPr="00FE3626">
        <w:rPr>
          <w:rFonts w:ascii="Verdana" w:eastAsia="宋体" w:hAnsi="Verdana" w:cs="宋体" w:hint="eastAsia"/>
          <w:kern w:val="0"/>
          <w:sz w:val="18"/>
          <w:szCs w:val="18"/>
        </w:rPr>
        <w:t>行业年度人物</w:t>
      </w:r>
      <w:r w:rsidRPr="00FE3626">
        <w:rPr>
          <w:rFonts w:ascii="Verdana" w:eastAsia="宋体" w:hAnsi="Verdana" w:cs="宋体"/>
          <w:kern w:val="0"/>
          <w:sz w:val="18"/>
          <w:szCs w:val="18"/>
        </w:rPr>
        <w:t>”</w:t>
      </w:r>
      <w:r w:rsidRPr="00FE3626">
        <w:rPr>
          <w:rFonts w:ascii="Verdana" w:eastAsia="宋体" w:hAnsi="Verdana" w:cs="宋体" w:hint="eastAsia"/>
          <w:kern w:val="0"/>
          <w:sz w:val="18"/>
          <w:szCs w:val="18"/>
        </w:rPr>
        <w:t>和</w:t>
      </w:r>
      <w:r w:rsidRPr="00FE3626">
        <w:rPr>
          <w:rFonts w:ascii="Verdana" w:eastAsia="宋体" w:hAnsi="Verdana" w:cs="宋体"/>
          <w:kern w:val="0"/>
          <w:sz w:val="18"/>
          <w:szCs w:val="18"/>
        </w:rPr>
        <w:t xml:space="preserve"> “</w:t>
      </w:r>
      <w:r w:rsidRPr="00FE3626">
        <w:rPr>
          <w:rFonts w:ascii="Verdana" w:eastAsia="宋体" w:hAnsi="Verdana" w:cs="宋体" w:hint="eastAsia"/>
          <w:kern w:val="0"/>
          <w:sz w:val="18"/>
          <w:szCs w:val="18"/>
        </w:rPr>
        <w:t>最佳实施案例</w:t>
      </w:r>
      <w:r w:rsidRPr="00FE3626">
        <w:rPr>
          <w:rFonts w:ascii="Verdana" w:eastAsia="宋体" w:hAnsi="Verdana" w:cs="宋体"/>
          <w:kern w:val="0"/>
          <w:sz w:val="18"/>
          <w:szCs w:val="18"/>
        </w:rPr>
        <w:t>”</w:t>
      </w:r>
      <w:r w:rsidRPr="00FE3626">
        <w:rPr>
          <w:rFonts w:ascii="Verdana" w:eastAsia="宋体" w:hAnsi="Verdana" w:cs="宋体" w:hint="eastAsia"/>
          <w:kern w:val="0"/>
          <w:sz w:val="18"/>
          <w:szCs w:val="18"/>
        </w:rPr>
        <w:t>两项提名；</w:t>
      </w:r>
      <w:r w:rsidRPr="00FE3626">
        <w:rPr>
          <w:rFonts w:ascii="Verdana" w:eastAsia="宋体" w:hAnsi="Verdana" w:cs="宋体"/>
          <w:kern w:val="0"/>
          <w:sz w:val="18"/>
          <w:szCs w:val="18"/>
        </w:rPr>
        <w:t xml:space="preserve"> </w:t>
      </w:r>
      <w:r w:rsidRPr="00FE3626">
        <w:rPr>
          <w:rFonts w:ascii="Verdana" w:eastAsia="宋体" w:hAnsi="Verdana" w:cs="宋体"/>
          <w:kern w:val="0"/>
          <w:sz w:val="18"/>
          <w:szCs w:val="18"/>
        </w:rPr>
        <w:br/>
        <w:t>- 2009</w:t>
      </w:r>
      <w:r w:rsidRPr="00FE3626">
        <w:rPr>
          <w:rFonts w:ascii="Verdana" w:eastAsia="宋体" w:hAnsi="Verdana" w:cs="宋体" w:hint="eastAsia"/>
          <w:kern w:val="0"/>
          <w:sz w:val="18"/>
          <w:szCs w:val="18"/>
        </w:rPr>
        <w:t>年度软件工程大会，获得</w:t>
      </w:r>
      <w:r w:rsidRPr="00FE3626">
        <w:rPr>
          <w:rFonts w:ascii="Verdana" w:eastAsia="宋体" w:hAnsi="Verdana" w:cs="宋体"/>
          <w:kern w:val="0"/>
          <w:sz w:val="18"/>
          <w:szCs w:val="18"/>
        </w:rPr>
        <w:t>“</w:t>
      </w:r>
      <w:r w:rsidRPr="00FE3626">
        <w:rPr>
          <w:rFonts w:ascii="Verdana" w:eastAsia="宋体" w:hAnsi="Verdana" w:cs="宋体" w:hint="eastAsia"/>
          <w:kern w:val="0"/>
          <w:sz w:val="18"/>
          <w:szCs w:val="18"/>
        </w:rPr>
        <w:t>杰出贡献专家</w:t>
      </w:r>
      <w:r w:rsidRPr="00FE3626">
        <w:rPr>
          <w:rFonts w:ascii="Verdana" w:eastAsia="宋体" w:hAnsi="Verdana" w:cs="宋体"/>
          <w:kern w:val="0"/>
          <w:sz w:val="18"/>
          <w:szCs w:val="18"/>
        </w:rPr>
        <w:t>”</w:t>
      </w:r>
      <w:r w:rsidRPr="00FE3626">
        <w:rPr>
          <w:rFonts w:ascii="Verdana" w:eastAsia="宋体" w:hAnsi="Verdana" w:cs="宋体" w:hint="eastAsia"/>
          <w:kern w:val="0"/>
          <w:sz w:val="18"/>
          <w:szCs w:val="18"/>
        </w:rPr>
        <w:t>称号。</w:t>
      </w:r>
      <w:r w:rsidRPr="00FE3626">
        <w:rPr>
          <w:rFonts w:ascii="Verdana" w:eastAsia="宋体" w:hAnsi="Verdana" w:cs="宋体"/>
          <w:kern w:val="0"/>
          <w:sz w:val="18"/>
          <w:szCs w:val="18"/>
        </w:rPr>
        <w:t xml:space="preserve"> </w:t>
      </w:r>
      <w:r w:rsidRPr="00FE3626">
        <w:rPr>
          <w:rFonts w:ascii="Verdana" w:eastAsia="宋体" w:hAnsi="Verdana" w:cs="宋体" w:hint="eastAsia"/>
          <w:kern w:val="0"/>
          <w:sz w:val="18"/>
          <w:szCs w:val="18"/>
        </w:rPr>
        <w:t>他曾经多次作为特邀嘉宾在过程改进大会、软件工程大会、</w:t>
      </w:r>
      <w:r w:rsidRPr="00FE3626">
        <w:rPr>
          <w:rFonts w:ascii="Verdana" w:eastAsia="宋体" w:hAnsi="Verdana" w:cs="宋体"/>
          <w:kern w:val="0"/>
          <w:sz w:val="18"/>
          <w:szCs w:val="18"/>
        </w:rPr>
        <w:t>SEPG</w:t>
      </w:r>
      <w:r w:rsidRPr="00FE3626">
        <w:rPr>
          <w:rFonts w:ascii="Verdana" w:eastAsia="宋体" w:hAnsi="Verdana" w:cs="宋体" w:hint="eastAsia"/>
          <w:kern w:val="0"/>
          <w:sz w:val="18"/>
          <w:szCs w:val="18"/>
        </w:rPr>
        <w:t>大会等众多业界知名研讨大会上发表关于精彩演讲。特别地，在</w:t>
      </w:r>
      <w:r w:rsidRPr="00FE3626">
        <w:rPr>
          <w:rFonts w:ascii="Verdana" w:eastAsia="宋体" w:hAnsi="Verdana" w:cs="宋体"/>
          <w:kern w:val="0"/>
          <w:sz w:val="18"/>
          <w:szCs w:val="18"/>
        </w:rPr>
        <w:t>2009</w:t>
      </w:r>
      <w:r w:rsidRPr="00FE3626">
        <w:rPr>
          <w:rFonts w:ascii="Verdana" w:eastAsia="宋体" w:hAnsi="Verdana" w:cs="宋体" w:hint="eastAsia"/>
          <w:kern w:val="0"/>
          <w:sz w:val="18"/>
          <w:szCs w:val="18"/>
        </w:rPr>
        <w:t>年度和</w:t>
      </w:r>
      <w:r w:rsidRPr="00FE3626">
        <w:rPr>
          <w:rFonts w:ascii="Verdana" w:eastAsia="宋体" w:hAnsi="Verdana" w:cs="宋体"/>
          <w:kern w:val="0"/>
          <w:sz w:val="18"/>
          <w:szCs w:val="18"/>
        </w:rPr>
        <w:t>2010</w:t>
      </w:r>
      <w:r w:rsidRPr="00FE3626">
        <w:rPr>
          <w:rFonts w:ascii="Verdana" w:eastAsia="宋体" w:hAnsi="Verdana" w:cs="宋体" w:hint="eastAsia"/>
          <w:kern w:val="0"/>
          <w:sz w:val="18"/>
          <w:szCs w:val="18"/>
        </w:rPr>
        <w:t>年度过</w:t>
      </w:r>
      <w:r w:rsidRPr="00FE3626">
        <w:rPr>
          <w:rFonts w:ascii="Verdana" w:eastAsia="宋体" w:hAnsi="Verdana" w:cs="宋体"/>
          <w:kern w:val="0"/>
          <w:sz w:val="18"/>
          <w:szCs w:val="18"/>
        </w:rPr>
        <w:t xml:space="preserve"> </w:t>
      </w:r>
      <w:r w:rsidRPr="00FE3626">
        <w:rPr>
          <w:rFonts w:ascii="Verdana" w:eastAsia="宋体" w:hAnsi="Verdana" w:cs="宋体" w:hint="eastAsia"/>
          <w:kern w:val="0"/>
          <w:sz w:val="18"/>
          <w:szCs w:val="18"/>
        </w:rPr>
        <w:t>程改进大会上，王小刚先生连续两届被特邀参加辩论赛（</w:t>
      </w:r>
      <w:r w:rsidRPr="00FE3626">
        <w:rPr>
          <w:rFonts w:ascii="Verdana" w:eastAsia="宋体" w:hAnsi="Verdana" w:cs="宋体"/>
          <w:kern w:val="0"/>
          <w:sz w:val="18"/>
          <w:szCs w:val="18"/>
        </w:rPr>
        <w:t>2009</w:t>
      </w:r>
      <w:r w:rsidRPr="00FE3626">
        <w:rPr>
          <w:rFonts w:ascii="Verdana" w:eastAsia="宋体" w:hAnsi="Verdana" w:cs="宋体" w:hint="eastAsia"/>
          <w:kern w:val="0"/>
          <w:sz w:val="18"/>
          <w:szCs w:val="18"/>
        </w:rPr>
        <w:t>辩论题目：</w:t>
      </w:r>
      <w:r w:rsidRPr="00FE3626">
        <w:rPr>
          <w:rFonts w:ascii="Verdana" w:eastAsia="宋体" w:hAnsi="Verdana" w:cs="宋体"/>
          <w:kern w:val="0"/>
          <w:sz w:val="18"/>
          <w:szCs w:val="18"/>
        </w:rPr>
        <w:t xml:space="preserve">“CMMI PK </w:t>
      </w:r>
      <w:r w:rsidRPr="00FE3626">
        <w:rPr>
          <w:rFonts w:ascii="Verdana" w:eastAsia="宋体" w:hAnsi="Verdana" w:cs="宋体" w:hint="eastAsia"/>
          <w:kern w:val="0"/>
          <w:sz w:val="18"/>
          <w:szCs w:val="18"/>
        </w:rPr>
        <w:t>敏捷</w:t>
      </w:r>
      <w:r w:rsidRPr="00FE3626">
        <w:rPr>
          <w:rFonts w:ascii="Verdana" w:eastAsia="宋体" w:hAnsi="Verdana" w:cs="宋体"/>
          <w:kern w:val="0"/>
          <w:sz w:val="18"/>
          <w:szCs w:val="18"/>
        </w:rPr>
        <w:t>”</w:t>
      </w:r>
      <w:r w:rsidRPr="00FE3626">
        <w:rPr>
          <w:rFonts w:ascii="Verdana" w:eastAsia="宋体" w:hAnsi="Verdana" w:cs="宋体" w:hint="eastAsia"/>
          <w:kern w:val="0"/>
          <w:sz w:val="18"/>
          <w:szCs w:val="18"/>
        </w:rPr>
        <w:t>；</w:t>
      </w:r>
      <w:r w:rsidRPr="00FE3626">
        <w:rPr>
          <w:rFonts w:ascii="Verdana" w:eastAsia="宋体" w:hAnsi="Verdana" w:cs="宋体"/>
          <w:kern w:val="0"/>
          <w:sz w:val="18"/>
          <w:szCs w:val="18"/>
        </w:rPr>
        <w:t>2010</w:t>
      </w:r>
      <w:r w:rsidRPr="00FE3626">
        <w:rPr>
          <w:rFonts w:ascii="Verdana" w:eastAsia="宋体" w:hAnsi="Verdana" w:cs="宋体" w:hint="eastAsia"/>
          <w:kern w:val="0"/>
          <w:sz w:val="18"/>
          <w:szCs w:val="18"/>
        </w:rPr>
        <w:t>辩论题目：</w:t>
      </w:r>
      <w:r w:rsidRPr="00FE3626">
        <w:rPr>
          <w:rFonts w:ascii="Verdana" w:eastAsia="宋体" w:hAnsi="Verdana" w:cs="宋体"/>
          <w:kern w:val="0"/>
          <w:sz w:val="18"/>
          <w:szCs w:val="18"/>
        </w:rPr>
        <w:t>“PMO</w:t>
      </w:r>
      <w:r w:rsidRPr="00FE3626">
        <w:rPr>
          <w:rFonts w:ascii="Verdana" w:eastAsia="宋体" w:hAnsi="Verdana" w:cs="宋体" w:hint="eastAsia"/>
          <w:kern w:val="0"/>
          <w:sz w:val="18"/>
          <w:szCs w:val="18"/>
        </w:rPr>
        <w:t>，生存还是毁灭</w:t>
      </w:r>
      <w:r w:rsidRPr="00FE3626">
        <w:rPr>
          <w:rFonts w:ascii="Verdana" w:eastAsia="宋体" w:hAnsi="Verdana" w:cs="宋体"/>
          <w:kern w:val="0"/>
          <w:sz w:val="18"/>
          <w:szCs w:val="18"/>
        </w:rPr>
        <w:t>”</w:t>
      </w:r>
      <w:r w:rsidRPr="00FE3626">
        <w:rPr>
          <w:rFonts w:ascii="Verdana" w:eastAsia="宋体" w:hAnsi="Verdana" w:cs="宋体" w:hint="eastAsia"/>
          <w:kern w:val="0"/>
          <w:sz w:val="18"/>
          <w:szCs w:val="18"/>
        </w:rPr>
        <w:t>），连续两届获得</w:t>
      </w:r>
      <w:r w:rsidRPr="00FE3626">
        <w:rPr>
          <w:rFonts w:ascii="Verdana" w:eastAsia="宋体" w:hAnsi="Verdana" w:cs="宋体"/>
          <w:kern w:val="0"/>
          <w:sz w:val="18"/>
          <w:szCs w:val="18"/>
        </w:rPr>
        <w:t>“</w:t>
      </w:r>
      <w:r w:rsidRPr="00FE3626">
        <w:rPr>
          <w:rFonts w:ascii="Verdana" w:eastAsia="宋体" w:hAnsi="Verdana" w:cs="宋体" w:hint="eastAsia"/>
          <w:kern w:val="0"/>
          <w:sz w:val="18"/>
          <w:szCs w:val="18"/>
        </w:rPr>
        <w:t>优胜团队</w:t>
      </w:r>
      <w:r w:rsidRPr="00FE3626">
        <w:rPr>
          <w:rFonts w:ascii="Verdana" w:eastAsia="宋体" w:hAnsi="Verdana" w:cs="宋体"/>
          <w:kern w:val="0"/>
          <w:sz w:val="18"/>
          <w:szCs w:val="18"/>
        </w:rPr>
        <w:t>”</w:t>
      </w:r>
      <w:r w:rsidRPr="00FE3626">
        <w:rPr>
          <w:rFonts w:ascii="Verdana" w:eastAsia="宋体" w:hAnsi="Verdana" w:cs="宋体" w:hint="eastAsia"/>
          <w:kern w:val="0"/>
          <w:sz w:val="18"/>
          <w:szCs w:val="18"/>
        </w:rPr>
        <w:t>称号，连续两届被评为全场</w:t>
      </w:r>
      <w:r w:rsidRPr="00FE3626">
        <w:rPr>
          <w:rFonts w:ascii="Verdana" w:eastAsia="宋体" w:hAnsi="Verdana" w:cs="宋体"/>
          <w:kern w:val="0"/>
          <w:sz w:val="18"/>
          <w:szCs w:val="18"/>
        </w:rPr>
        <w:t>“</w:t>
      </w:r>
      <w:r w:rsidRPr="00FE3626">
        <w:rPr>
          <w:rFonts w:ascii="Verdana" w:eastAsia="宋体" w:hAnsi="Verdana" w:cs="宋体" w:hint="eastAsia"/>
          <w:kern w:val="0"/>
          <w:sz w:val="18"/>
          <w:szCs w:val="18"/>
        </w:rPr>
        <w:t>最佳辩手</w:t>
      </w:r>
      <w:r w:rsidRPr="00FE3626">
        <w:rPr>
          <w:rFonts w:ascii="Verdana" w:eastAsia="宋体" w:hAnsi="Verdana" w:cs="宋体"/>
          <w:kern w:val="0"/>
          <w:sz w:val="18"/>
          <w:szCs w:val="18"/>
        </w:rPr>
        <w:t>”</w:t>
      </w:r>
      <w:r w:rsidRPr="00FE3626">
        <w:rPr>
          <w:rFonts w:ascii="Verdana" w:eastAsia="宋体" w:hAnsi="Verdana" w:cs="宋体" w:hint="eastAsia"/>
          <w:kern w:val="0"/>
          <w:sz w:val="18"/>
          <w:szCs w:val="18"/>
        </w:rPr>
        <w:t>。</w:t>
      </w:r>
    </w:p>
    <w:p w:rsidR="00FE3626" w:rsidRPr="00FE3626" w:rsidRDefault="00FE3626" w:rsidP="00FE3626">
      <w:pPr>
        <w:pStyle w:val="a5"/>
        <w:spacing w:line="240" w:lineRule="auto"/>
        <w:rPr>
          <w:rFonts w:ascii="Verdana" w:hAnsi="Verdana" w:hint="eastAsia"/>
          <w:b/>
          <w:bCs/>
          <w:sz w:val="18"/>
          <w:szCs w:val="18"/>
        </w:rPr>
      </w:pPr>
    </w:p>
    <w:p w:rsidR="00FE3626" w:rsidRPr="00FE3626" w:rsidRDefault="00FE3626" w:rsidP="00FE3626">
      <w:pPr>
        <w:pStyle w:val="a5"/>
        <w:spacing w:line="240" w:lineRule="auto"/>
        <w:rPr>
          <w:rFonts w:ascii="Verdana" w:hAnsi="Verdana"/>
          <w:b/>
          <w:bCs/>
          <w:sz w:val="18"/>
          <w:szCs w:val="18"/>
        </w:rPr>
      </w:pPr>
      <w:r w:rsidRPr="00FE3626">
        <w:rPr>
          <w:rFonts w:ascii="Verdana" w:hAnsi="Verdana" w:hint="eastAsia"/>
          <w:b/>
          <w:bCs/>
          <w:sz w:val="18"/>
          <w:szCs w:val="18"/>
        </w:rPr>
        <w:t>课程费用：原价：</w:t>
      </w:r>
      <w:r w:rsidRPr="00FE3626">
        <w:rPr>
          <w:rFonts w:ascii="Verdana" w:hAnsi="Verdana" w:hint="eastAsia"/>
          <w:b/>
          <w:bCs/>
          <w:sz w:val="18"/>
          <w:szCs w:val="18"/>
        </w:rPr>
        <w:t>5800</w:t>
      </w:r>
      <w:r w:rsidRPr="00FE3626">
        <w:rPr>
          <w:rFonts w:ascii="Verdana" w:hAnsi="Verdana"/>
          <w:b/>
          <w:bCs/>
          <w:sz w:val="18"/>
          <w:szCs w:val="18"/>
        </w:rPr>
        <w:t>/</w:t>
      </w:r>
      <w:r w:rsidRPr="00FE3626">
        <w:rPr>
          <w:rFonts w:ascii="Verdana" w:hAnsi="Verdana" w:hint="eastAsia"/>
          <w:b/>
          <w:bCs/>
          <w:sz w:val="18"/>
          <w:szCs w:val="18"/>
        </w:rPr>
        <w:t>人（软件园特惠：</w:t>
      </w:r>
      <w:r w:rsidRPr="00FE3626">
        <w:rPr>
          <w:rFonts w:ascii="Verdana" w:hAnsi="Verdana" w:hint="eastAsia"/>
          <w:b/>
          <w:bCs/>
          <w:sz w:val="18"/>
          <w:szCs w:val="18"/>
        </w:rPr>
        <w:t>3500</w:t>
      </w:r>
      <w:r w:rsidRPr="00FE3626">
        <w:rPr>
          <w:rFonts w:ascii="Verdana" w:hAnsi="Verdana" w:hint="eastAsia"/>
          <w:b/>
          <w:bCs/>
          <w:sz w:val="18"/>
          <w:szCs w:val="18"/>
        </w:rPr>
        <w:t>元</w:t>
      </w:r>
      <w:r w:rsidRPr="00FE3626">
        <w:rPr>
          <w:rFonts w:ascii="Verdana" w:hAnsi="Verdana"/>
          <w:b/>
          <w:bCs/>
          <w:sz w:val="18"/>
          <w:szCs w:val="18"/>
        </w:rPr>
        <w:t>/</w:t>
      </w:r>
      <w:r w:rsidRPr="00FE3626">
        <w:rPr>
          <w:rFonts w:ascii="Verdana" w:hAnsi="Verdana" w:hint="eastAsia"/>
          <w:b/>
          <w:bCs/>
          <w:sz w:val="18"/>
          <w:szCs w:val="18"/>
        </w:rPr>
        <w:t>人</w:t>
      </w:r>
      <w:r w:rsidRPr="00FE3626">
        <w:rPr>
          <w:rFonts w:ascii="Verdana" w:hAnsi="Verdana" w:hint="eastAsia"/>
          <w:b/>
          <w:bCs/>
          <w:sz w:val="18"/>
          <w:szCs w:val="18"/>
        </w:rPr>
        <w:t>,5800</w:t>
      </w:r>
      <w:r w:rsidRPr="00FE3626">
        <w:rPr>
          <w:rFonts w:ascii="Verdana" w:hAnsi="Verdana" w:hint="eastAsia"/>
          <w:b/>
          <w:bCs/>
          <w:sz w:val="18"/>
          <w:szCs w:val="18"/>
        </w:rPr>
        <w:t>元</w:t>
      </w:r>
      <w:r w:rsidRPr="00FE3626">
        <w:rPr>
          <w:rFonts w:ascii="Verdana" w:hAnsi="Verdana" w:hint="eastAsia"/>
          <w:b/>
          <w:bCs/>
          <w:sz w:val="18"/>
          <w:szCs w:val="18"/>
        </w:rPr>
        <w:t>/2</w:t>
      </w:r>
      <w:r w:rsidRPr="00FE3626">
        <w:rPr>
          <w:rFonts w:ascii="Verdana" w:hAnsi="Verdana" w:hint="eastAsia"/>
          <w:b/>
          <w:bCs/>
          <w:sz w:val="18"/>
          <w:szCs w:val="18"/>
        </w:rPr>
        <w:t>人）</w:t>
      </w:r>
    </w:p>
    <w:p w:rsidR="00FE3626" w:rsidRDefault="00FE3626" w:rsidP="00FE3626">
      <w:pPr>
        <w:pStyle w:val="a5"/>
        <w:spacing w:line="240" w:lineRule="auto"/>
        <w:rPr>
          <w:rFonts w:ascii="Verdana" w:hAnsi="Verdana" w:hint="eastAsia"/>
          <w:b/>
          <w:bCs/>
          <w:sz w:val="18"/>
          <w:szCs w:val="18"/>
        </w:rPr>
      </w:pPr>
      <w:r w:rsidRPr="00FE3626">
        <w:rPr>
          <w:rFonts w:ascii="Verdana" w:hAnsi="Verdana" w:hint="eastAsia"/>
          <w:b/>
          <w:bCs/>
          <w:sz w:val="18"/>
          <w:szCs w:val="18"/>
        </w:rPr>
        <w:t>人数限制：</w:t>
      </w:r>
      <w:r w:rsidRPr="00FE3626">
        <w:rPr>
          <w:rFonts w:ascii="Verdana" w:hAnsi="Verdana" w:hint="eastAsia"/>
          <w:b/>
          <w:bCs/>
          <w:sz w:val="18"/>
          <w:szCs w:val="18"/>
        </w:rPr>
        <w:t>25</w:t>
      </w:r>
      <w:r w:rsidRPr="00FE3626">
        <w:rPr>
          <w:rFonts w:ascii="Verdana" w:hAnsi="Verdana" w:hint="eastAsia"/>
          <w:b/>
          <w:bCs/>
          <w:sz w:val="18"/>
          <w:szCs w:val="18"/>
        </w:rPr>
        <w:t>人</w:t>
      </w:r>
      <w:r w:rsidRPr="00FE3626">
        <w:rPr>
          <w:rFonts w:ascii="Verdana" w:hAnsi="Verdana" w:hint="eastAsia"/>
          <w:b/>
          <w:bCs/>
          <w:sz w:val="18"/>
          <w:szCs w:val="18"/>
        </w:rPr>
        <w:t xml:space="preserve">   </w:t>
      </w:r>
      <w:r w:rsidRPr="00FE3626">
        <w:rPr>
          <w:rFonts w:ascii="Verdana" w:hAnsi="Verdana" w:hint="eastAsia"/>
          <w:b/>
          <w:bCs/>
          <w:sz w:val="18"/>
          <w:szCs w:val="18"/>
        </w:rPr>
        <w:t>时长：</w:t>
      </w:r>
      <w:r w:rsidRPr="00FE3626">
        <w:rPr>
          <w:rFonts w:ascii="Verdana" w:hAnsi="Verdana" w:hint="eastAsia"/>
          <w:b/>
          <w:bCs/>
          <w:sz w:val="18"/>
          <w:szCs w:val="18"/>
        </w:rPr>
        <w:t>2</w:t>
      </w:r>
      <w:r w:rsidRPr="00FE3626">
        <w:rPr>
          <w:rFonts w:ascii="Verdana" w:hAnsi="Verdana" w:hint="eastAsia"/>
          <w:b/>
          <w:bCs/>
          <w:sz w:val="18"/>
          <w:szCs w:val="18"/>
        </w:rPr>
        <w:t>天</w:t>
      </w:r>
      <w:r w:rsidRPr="00FE3626">
        <w:rPr>
          <w:rFonts w:ascii="Verdana" w:hAnsi="Verdana" w:hint="eastAsia"/>
          <w:b/>
          <w:bCs/>
          <w:sz w:val="18"/>
          <w:szCs w:val="18"/>
        </w:rPr>
        <w:br/>
      </w:r>
      <w:r w:rsidRPr="00FE3626">
        <w:rPr>
          <w:rFonts w:ascii="Verdana" w:hAnsi="Verdana" w:hint="eastAsia"/>
          <w:b/>
          <w:bCs/>
          <w:sz w:val="18"/>
          <w:szCs w:val="18"/>
        </w:rPr>
        <w:t>时间地点：西安软件园附近</w:t>
      </w:r>
      <w:r w:rsidRPr="00FE3626">
        <w:rPr>
          <w:rFonts w:ascii="Verdana" w:hAnsi="Verdana" w:hint="eastAsia"/>
          <w:b/>
          <w:bCs/>
          <w:sz w:val="18"/>
          <w:szCs w:val="18"/>
        </w:rPr>
        <w:t>  3</w:t>
      </w:r>
      <w:r w:rsidRPr="00FE3626">
        <w:rPr>
          <w:rFonts w:ascii="Verdana" w:hAnsi="Verdana" w:hint="eastAsia"/>
          <w:b/>
          <w:bCs/>
          <w:sz w:val="18"/>
          <w:szCs w:val="18"/>
        </w:rPr>
        <w:t>月</w:t>
      </w:r>
      <w:r w:rsidRPr="00FE3626">
        <w:rPr>
          <w:rFonts w:ascii="Verdana" w:hAnsi="Verdana" w:hint="eastAsia"/>
          <w:b/>
          <w:bCs/>
          <w:sz w:val="18"/>
          <w:szCs w:val="18"/>
        </w:rPr>
        <w:t>15-16</w:t>
      </w:r>
      <w:r w:rsidRPr="00FE3626">
        <w:rPr>
          <w:rFonts w:ascii="Verdana" w:hAnsi="Verdana" w:hint="eastAsia"/>
          <w:b/>
          <w:bCs/>
          <w:sz w:val="18"/>
          <w:szCs w:val="18"/>
        </w:rPr>
        <w:t>日</w:t>
      </w:r>
    </w:p>
    <w:p w:rsidR="00BC3C0E" w:rsidRPr="00FE3626" w:rsidRDefault="00BC3C0E" w:rsidP="00FE3626">
      <w:pPr>
        <w:pStyle w:val="a5"/>
        <w:spacing w:line="240" w:lineRule="auto"/>
        <w:rPr>
          <w:rFonts w:ascii="Verdana" w:hAnsi="Verdana"/>
          <w:b/>
          <w:bCs/>
          <w:sz w:val="18"/>
          <w:szCs w:val="18"/>
        </w:rPr>
      </w:pPr>
    </w:p>
    <w:p w:rsidR="00FE3626" w:rsidRDefault="00FE3626" w:rsidP="00FE3626">
      <w:pPr>
        <w:pStyle w:val="a5"/>
        <w:rPr>
          <w:rFonts w:ascii="Verdana" w:hAnsi="Verdana"/>
          <w:sz w:val="18"/>
          <w:szCs w:val="18"/>
        </w:rPr>
      </w:pPr>
      <w:r>
        <w:rPr>
          <w:rFonts w:ascii="Verdana" w:hAnsi="Verdana"/>
          <w:b/>
          <w:bCs/>
          <w:sz w:val="18"/>
          <w:szCs w:val="18"/>
        </w:rPr>
        <w:t>课程简介：</w:t>
      </w:r>
      <w:r>
        <w:rPr>
          <w:rFonts w:ascii="Verdana" w:hAnsi="Verdana"/>
          <w:sz w:val="18"/>
          <w:szCs w:val="18"/>
        </w:rPr>
        <w:br/>
      </w:r>
      <w:r>
        <w:rPr>
          <w:rFonts w:ascii="Verdana" w:hAnsi="Verdana"/>
          <w:sz w:val="18"/>
          <w:szCs w:val="18"/>
        </w:rPr>
        <w:t>与一般介绍性质的</w:t>
      </w:r>
      <w:r>
        <w:rPr>
          <w:rFonts w:ascii="Verdana" w:hAnsi="Verdana"/>
          <w:sz w:val="18"/>
          <w:szCs w:val="18"/>
        </w:rPr>
        <w:t>“</w:t>
      </w:r>
      <w:r>
        <w:rPr>
          <w:rFonts w:ascii="Verdana" w:hAnsi="Verdana"/>
          <w:sz w:val="18"/>
          <w:szCs w:val="18"/>
        </w:rPr>
        <w:t>软件项目管理</w:t>
      </w:r>
      <w:r>
        <w:rPr>
          <w:rFonts w:ascii="Verdana" w:hAnsi="Verdana"/>
          <w:sz w:val="18"/>
          <w:szCs w:val="18"/>
        </w:rPr>
        <w:t>”</w:t>
      </w:r>
      <w:r>
        <w:rPr>
          <w:rFonts w:ascii="Verdana" w:hAnsi="Verdana"/>
          <w:sz w:val="18"/>
          <w:szCs w:val="18"/>
        </w:rPr>
        <w:t>培训课程不同，本课程凭借讲师多年来在多种行业领域内（金融、电信、电力、物流、外包、以及医疗、中间件</w:t>
      </w:r>
      <w:r>
        <w:rPr>
          <w:rFonts w:ascii="Verdana" w:hAnsi="Verdana"/>
          <w:sz w:val="18"/>
          <w:szCs w:val="18"/>
        </w:rPr>
        <w:t>……</w:t>
      </w:r>
      <w:r>
        <w:rPr>
          <w:rFonts w:ascii="Verdana" w:hAnsi="Verdana"/>
          <w:sz w:val="18"/>
          <w:szCs w:val="18"/>
        </w:rPr>
        <w:t>等）从事一线软件项目管理所取得的丰富的实战经验和咨询经验，通过大量实例来详尽介绍与分析深入浅出介绍软件项目管理所涉及到的、在操作实施起来比较容易出现错误</w:t>
      </w:r>
      <w:r>
        <w:rPr>
          <w:rFonts w:ascii="Verdana" w:hAnsi="Verdana"/>
          <w:sz w:val="18"/>
          <w:szCs w:val="18"/>
        </w:rPr>
        <w:t>/</w:t>
      </w:r>
      <w:r>
        <w:rPr>
          <w:rFonts w:ascii="Verdana" w:hAnsi="Verdana"/>
          <w:sz w:val="18"/>
          <w:szCs w:val="18"/>
        </w:rPr>
        <w:t>容易被忽视的关键环节，以及相应的对策，例如：</w:t>
      </w:r>
      <w:r>
        <w:rPr>
          <w:rFonts w:ascii="Verdana" w:hAnsi="Verdana"/>
          <w:sz w:val="18"/>
          <w:szCs w:val="18"/>
        </w:rPr>
        <w:t xml:space="preserve"> </w:t>
      </w:r>
      <w:r>
        <w:rPr>
          <w:rFonts w:ascii="Verdana" w:hAnsi="Verdana"/>
          <w:sz w:val="18"/>
          <w:szCs w:val="18"/>
        </w:rPr>
        <w:t>如何使用</w:t>
      </w:r>
      <w:r>
        <w:rPr>
          <w:rFonts w:ascii="Verdana" w:hAnsi="Verdana"/>
          <w:sz w:val="18"/>
          <w:szCs w:val="18"/>
        </w:rPr>
        <w:t>“</w:t>
      </w:r>
      <w:r>
        <w:rPr>
          <w:rFonts w:ascii="Verdana" w:hAnsi="Verdana"/>
          <w:sz w:val="18"/>
          <w:szCs w:val="18"/>
        </w:rPr>
        <w:t>因果关系图</w:t>
      </w:r>
      <w:r>
        <w:rPr>
          <w:rFonts w:ascii="Verdana" w:hAnsi="Verdana"/>
          <w:sz w:val="18"/>
          <w:szCs w:val="18"/>
        </w:rPr>
        <w:t>”</w:t>
      </w:r>
      <w:r>
        <w:rPr>
          <w:rFonts w:ascii="Verdana" w:hAnsi="Verdana"/>
          <w:sz w:val="18"/>
          <w:szCs w:val="18"/>
        </w:rPr>
        <w:t>进行项目可行性分析、确认项目的建设目标；</w:t>
      </w:r>
      <w:r>
        <w:rPr>
          <w:rFonts w:ascii="Verdana" w:hAnsi="Verdana"/>
          <w:sz w:val="18"/>
          <w:szCs w:val="18"/>
        </w:rPr>
        <w:t xml:space="preserve"> </w:t>
      </w:r>
      <w:r>
        <w:rPr>
          <w:rFonts w:ascii="Verdana" w:hAnsi="Verdana"/>
          <w:sz w:val="18"/>
          <w:szCs w:val="18"/>
        </w:rPr>
        <w:t>如何正确的理解和应用流程模型（例如：</w:t>
      </w:r>
      <w:r>
        <w:rPr>
          <w:rFonts w:ascii="Verdana" w:hAnsi="Verdana"/>
          <w:sz w:val="18"/>
          <w:szCs w:val="18"/>
        </w:rPr>
        <w:t>CMMI</w:t>
      </w:r>
      <w:r>
        <w:rPr>
          <w:rFonts w:ascii="Verdana" w:hAnsi="Verdana"/>
          <w:sz w:val="18"/>
          <w:szCs w:val="18"/>
        </w:rPr>
        <w:t>）与软件项目管理中；</w:t>
      </w:r>
      <w:r>
        <w:rPr>
          <w:rFonts w:ascii="Verdana" w:hAnsi="Verdana"/>
          <w:sz w:val="18"/>
          <w:szCs w:val="18"/>
        </w:rPr>
        <w:t xml:space="preserve"> </w:t>
      </w:r>
      <w:r>
        <w:rPr>
          <w:rFonts w:ascii="Verdana" w:hAnsi="Verdana"/>
          <w:sz w:val="18"/>
          <w:szCs w:val="18"/>
        </w:rPr>
        <w:t>基于项目的建设目标、如何使用</w:t>
      </w:r>
      <w:r>
        <w:rPr>
          <w:rFonts w:ascii="Verdana" w:hAnsi="Verdana"/>
          <w:sz w:val="18"/>
          <w:szCs w:val="18"/>
        </w:rPr>
        <w:t>“</w:t>
      </w:r>
      <w:r>
        <w:rPr>
          <w:rFonts w:ascii="Verdana" w:hAnsi="Verdana"/>
          <w:sz w:val="18"/>
          <w:szCs w:val="18"/>
        </w:rPr>
        <w:t>平衡积分卡</w:t>
      </w:r>
      <w:r>
        <w:rPr>
          <w:rFonts w:ascii="Verdana" w:hAnsi="Verdana"/>
          <w:sz w:val="18"/>
          <w:szCs w:val="18"/>
        </w:rPr>
        <w:t>”</w:t>
      </w:r>
      <w:r>
        <w:rPr>
          <w:rFonts w:ascii="Verdana" w:hAnsi="Verdana"/>
          <w:sz w:val="18"/>
          <w:szCs w:val="18"/>
        </w:rPr>
        <w:t>技术分析项目的关键过程、关键工作项、以及关键性指标项；</w:t>
      </w:r>
      <w:r>
        <w:rPr>
          <w:rFonts w:ascii="Verdana" w:hAnsi="Verdana"/>
          <w:sz w:val="18"/>
          <w:szCs w:val="18"/>
        </w:rPr>
        <w:t xml:space="preserve"> </w:t>
      </w:r>
      <w:r>
        <w:rPr>
          <w:rFonts w:ascii="Verdana" w:hAnsi="Verdana"/>
          <w:sz w:val="18"/>
          <w:szCs w:val="18"/>
        </w:rPr>
        <w:t>基于项目项目的建设目标，实施有效</w:t>
      </w:r>
      <w:r>
        <w:rPr>
          <w:rFonts w:ascii="Verdana" w:hAnsi="Verdana"/>
          <w:sz w:val="18"/>
          <w:szCs w:val="18"/>
        </w:rPr>
        <w:t>“</w:t>
      </w:r>
      <w:r>
        <w:rPr>
          <w:rFonts w:ascii="Verdana" w:hAnsi="Verdana"/>
          <w:sz w:val="18"/>
          <w:szCs w:val="18"/>
        </w:rPr>
        <w:t>相关方期望值分析</w:t>
      </w:r>
      <w:r>
        <w:rPr>
          <w:rFonts w:ascii="Verdana" w:hAnsi="Verdana"/>
          <w:sz w:val="18"/>
          <w:szCs w:val="18"/>
        </w:rPr>
        <w:t>”</w:t>
      </w:r>
      <w:r>
        <w:rPr>
          <w:rFonts w:ascii="Verdana" w:hAnsi="Verdana"/>
          <w:sz w:val="18"/>
          <w:szCs w:val="18"/>
        </w:rPr>
        <w:t>，从而实现对项目需求的有效开发、管理和控制；</w:t>
      </w:r>
      <w:r>
        <w:rPr>
          <w:rFonts w:ascii="Verdana" w:hAnsi="Verdana"/>
          <w:sz w:val="18"/>
          <w:szCs w:val="18"/>
        </w:rPr>
        <w:t xml:space="preserve"> </w:t>
      </w:r>
      <w:r>
        <w:rPr>
          <w:rFonts w:ascii="Verdana" w:hAnsi="Verdana"/>
          <w:sz w:val="18"/>
          <w:szCs w:val="18"/>
        </w:rPr>
        <w:t>项目的四大目标（进度、质量、成本、范围）如何协调一致，以及在</w:t>
      </w:r>
      <w:r>
        <w:rPr>
          <w:rFonts w:ascii="Verdana" w:hAnsi="Verdana"/>
          <w:sz w:val="18"/>
          <w:szCs w:val="18"/>
        </w:rPr>
        <w:t>4</w:t>
      </w:r>
      <w:r>
        <w:rPr>
          <w:rFonts w:ascii="Verdana" w:hAnsi="Verdana"/>
          <w:sz w:val="18"/>
          <w:szCs w:val="18"/>
        </w:rPr>
        <w:t>大目标协调一致的基础上对成本（工作量）实施控制和管理；</w:t>
      </w:r>
      <w:r>
        <w:rPr>
          <w:rFonts w:ascii="Verdana" w:hAnsi="Verdana"/>
          <w:sz w:val="18"/>
          <w:szCs w:val="18"/>
        </w:rPr>
        <w:t xml:space="preserve"> </w:t>
      </w:r>
      <w:r>
        <w:rPr>
          <w:rFonts w:ascii="Verdana" w:hAnsi="Verdana"/>
          <w:sz w:val="18"/>
          <w:szCs w:val="18"/>
        </w:rPr>
        <w:t>基于软件项目可视化的监控方法与实践；</w:t>
      </w:r>
      <w:r>
        <w:rPr>
          <w:rFonts w:ascii="Verdana" w:hAnsi="Verdana"/>
          <w:sz w:val="18"/>
          <w:szCs w:val="18"/>
        </w:rPr>
        <w:t xml:space="preserve"> </w:t>
      </w:r>
      <w:r>
        <w:rPr>
          <w:rFonts w:ascii="Verdana" w:hAnsi="Verdana"/>
          <w:sz w:val="18"/>
          <w:szCs w:val="18"/>
        </w:rPr>
        <w:t>如何通过</w:t>
      </w:r>
      <w:r>
        <w:rPr>
          <w:rFonts w:ascii="Verdana" w:hAnsi="Verdana"/>
          <w:sz w:val="18"/>
          <w:szCs w:val="18"/>
        </w:rPr>
        <w:t>“</w:t>
      </w:r>
      <w:r>
        <w:rPr>
          <w:rFonts w:ascii="Verdana" w:hAnsi="Verdana"/>
          <w:sz w:val="18"/>
          <w:szCs w:val="18"/>
        </w:rPr>
        <w:t>相关方期望值冲突矩阵</w:t>
      </w:r>
      <w:r>
        <w:rPr>
          <w:rFonts w:ascii="Verdana" w:hAnsi="Verdana"/>
          <w:sz w:val="18"/>
          <w:szCs w:val="18"/>
        </w:rPr>
        <w:t>”</w:t>
      </w:r>
      <w:r>
        <w:rPr>
          <w:rFonts w:ascii="Verdana" w:hAnsi="Verdana"/>
          <w:sz w:val="18"/>
          <w:szCs w:val="18"/>
        </w:rPr>
        <w:t>准确的识别项目的风险，以及将风险的计划与监控与项目管理有机的结合起来；</w:t>
      </w:r>
      <w:r>
        <w:rPr>
          <w:rFonts w:ascii="Verdana" w:hAnsi="Verdana"/>
          <w:sz w:val="18"/>
          <w:szCs w:val="18"/>
        </w:rPr>
        <w:t xml:space="preserve"> </w:t>
      </w:r>
      <w:r>
        <w:rPr>
          <w:rFonts w:ascii="Verdana" w:hAnsi="Verdana"/>
          <w:sz w:val="18"/>
          <w:szCs w:val="18"/>
        </w:rPr>
        <w:t>如何使用</w:t>
      </w:r>
      <w:r>
        <w:rPr>
          <w:rFonts w:ascii="Verdana" w:hAnsi="Verdana"/>
          <w:sz w:val="18"/>
          <w:szCs w:val="18"/>
        </w:rPr>
        <w:t>“</w:t>
      </w:r>
      <w:r>
        <w:rPr>
          <w:rFonts w:ascii="Verdana" w:hAnsi="Verdana"/>
          <w:sz w:val="18"/>
          <w:szCs w:val="18"/>
        </w:rPr>
        <w:t>模式识别</w:t>
      </w:r>
      <w:r>
        <w:rPr>
          <w:rFonts w:ascii="Verdana" w:hAnsi="Verdana"/>
          <w:sz w:val="18"/>
          <w:szCs w:val="18"/>
        </w:rPr>
        <w:t>”</w:t>
      </w:r>
      <w:r>
        <w:rPr>
          <w:rFonts w:ascii="Verdana" w:hAnsi="Verdana"/>
          <w:sz w:val="18"/>
          <w:szCs w:val="18"/>
        </w:rPr>
        <w:t>方法总结、归纳和萃取项目的最佳实践与教训</w:t>
      </w:r>
      <w:r>
        <w:rPr>
          <w:rFonts w:ascii="Verdana" w:hAnsi="Verdana"/>
          <w:sz w:val="18"/>
          <w:szCs w:val="18"/>
        </w:rPr>
        <w:t>……</w:t>
      </w:r>
      <w:r>
        <w:rPr>
          <w:rFonts w:ascii="Verdana" w:hAnsi="Verdana"/>
          <w:sz w:val="18"/>
          <w:szCs w:val="18"/>
        </w:rPr>
        <w:t>特别的，为了能够提升学员的实战技能</w:t>
      </w:r>
      <w:r>
        <w:rPr>
          <w:rFonts w:ascii="Verdana" w:hAnsi="Verdana"/>
          <w:sz w:val="18"/>
          <w:szCs w:val="18"/>
        </w:rPr>
        <w:t xml:space="preserve"> </w:t>
      </w:r>
      <w:r>
        <w:rPr>
          <w:rFonts w:ascii="Verdana" w:hAnsi="Verdana"/>
          <w:sz w:val="18"/>
          <w:szCs w:val="18"/>
        </w:rPr>
        <w:t>着重培养学员的使用不同方法论</w:t>
      </w:r>
      <w:r>
        <w:rPr>
          <w:rFonts w:ascii="Verdana" w:hAnsi="Verdana"/>
          <w:sz w:val="18"/>
          <w:szCs w:val="18"/>
        </w:rPr>
        <w:t>/</w:t>
      </w:r>
      <w:r>
        <w:rPr>
          <w:rFonts w:ascii="Verdana" w:hAnsi="Verdana"/>
          <w:sz w:val="18"/>
          <w:szCs w:val="18"/>
        </w:rPr>
        <w:t>技术实施项目管理实际操作能力，本课程将采用</w:t>
      </w:r>
      <w:r>
        <w:rPr>
          <w:rFonts w:ascii="Verdana" w:hAnsi="Verdana"/>
          <w:sz w:val="18"/>
          <w:szCs w:val="18"/>
        </w:rPr>
        <w:t>“</w:t>
      </w:r>
      <w:r>
        <w:rPr>
          <w:rFonts w:ascii="Verdana" w:hAnsi="Verdana"/>
          <w:sz w:val="18"/>
          <w:szCs w:val="18"/>
        </w:rPr>
        <w:t>沙盘演练</w:t>
      </w:r>
      <w:r>
        <w:rPr>
          <w:rFonts w:ascii="Verdana" w:hAnsi="Verdana"/>
          <w:sz w:val="18"/>
          <w:szCs w:val="18"/>
        </w:rPr>
        <w:t>”</w:t>
      </w:r>
      <w:r>
        <w:rPr>
          <w:rFonts w:ascii="Verdana" w:hAnsi="Verdana"/>
          <w:sz w:val="18"/>
          <w:szCs w:val="18"/>
        </w:rPr>
        <w:t>的形式，即：通过一个原创的、软件项目模拟场景，以软件项目的生命周期（以项目启动、项目计划、项目监控、项目总结的时间顺序）为主线，串联起</w:t>
      </w:r>
      <w:r>
        <w:rPr>
          <w:rFonts w:ascii="Verdana" w:hAnsi="Verdana"/>
          <w:sz w:val="18"/>
          <w:szCs w:val="18"/>
        </w:rPr>
        <w:t>6</w:t>
      </w:r>
      <w:r>
        <w:rPr>
          <w:rFonts w:ascii="Verdana" w:hAnsi="Verdana"/>
          <w:sz w:val="18"/>
          <w:szCs w:val="18"/>
        </w:rPr>
        <w:t>个相互关联的、前后呼应的分组练习；以期帮助学员迅速厘清软件项目管理当中的常见问题、常见错误、及其解决方案，能够让学员迅速的掌握培训的知识点和要素，使得本课程具备非常强的实践性和可操作性。</w:t>
      </w:r>
      <w:r>
        <w:rPr>
          <w:rFonts w:ascii="Verdana" w:hAnsi="Verdana"/>
          <w:sz w:val="18"/>
          <w:szCs w:val="18"/>
        </w:rPr>
        <w:t xml:space="preserve"> </w:t>
      </w:r>
      <w:r>
        <w:rPr>
          <w:rFonts w:ascii="Verdana" w:hAnsi="Verdana"/>
          <w:sz w:val="18"/>
          <w:szCs w:val="18"/>
        </w:rPr>
        <w:t>【讲师特别承诺】：本课程所列举的所有实例和最佳实践，全部来自于中小规模的软件公司，没有一个来自于所谓的</w:t>
      </w:r>
      <w:r>
        <w:rPr>
          <w:rFonts w:ascii="Verdana" w:hAnsi="Verdana"/>
          <w:sz w:val="18"/>
          <w:szCs w:val="18"/>
        </w:rPr>
        <w:t>“500</w:t>
      </w:r>
      <w:r>
        <w:rPr>
          <w:rFonts w:ascii="Verdana" w:hAnsi="Verdana"/>
          <w:sz w:val="18"/>
          <w:szCs w:val="18"/>
        </w:rPr>
        <w:t>强</w:t>
      </w:r>
      <w:r>
        <w:rPr>
          <w:rFonts w:ascii="Verdana" w:hAnsi="Verdana"/>
          <w:sz w:val="18"/>
          <w:szCs w:val="18"/>
        </w:rPr>
        <w:t>”</w:t>
      </w:r>
      <w:r>
        <w:rPr>
          <w:rFonts w:ascii="Verdana" w:hAnsi="Verdana"/>
          <w:sz w:val="18"/>
          <w:szCs w:val="18"/>
        </w:rPr>
        <w:t>公司。所以，这些实践可以很快的在贵公司得到应用，而不需要依托大公司才有的、昂贵的、不可复制的平台与环境。</w:t>
      </w:r>
    </w:p>
    <w:tbl>
      <w:tblPr>
        <w:tblW w:w="9600" w:type="dxa"/>
        <w:tblCellSpacing w:w="0" w:type="dxa"/>
        <w:tblBorders>
          <w:top w:val="outset" w:sz="6" w:space="0" w:color="14A5BD"/>
          <w:left w:val="outset" w:sz="6" w:space="0" w:color="14A5BD"/>
          <w:bottom w:val="outset" w:sz="6" w:space="0" w:color="14A5BD"/>
          <w:right w:val="outset" w:sz="6" w:space="0" w:color="14A5BD"/>
        </w:tblBorders>
        <w:tblCellMar>
          <w:top w:w="15" w:type="dxa"/>
          <w:left w:w="15" w:type="dxa"/>
          <w:bottom w:w="15" w:type="dxa"/>
          <w:right w:w="15" w:type="dxa"/>
        </w:tblCellMar>
        <w:tblLook w:val="04A0"/>
      </w:tblPr>
      <w:tblGrid>
        <w:gridCol w:w="3759"/>
        <w:gridCol w:w="5841"/>
      </w:tblGrid>
      <w:tr w:rsidR="00FE3626" w:rsidTr="00BC3C0E">
        <w:trPr>
          <w:trHeight w:val="664"/>
          <w:tblCellSpacing w:w="0" w:type="dxa"/>
        </w:trPr>
        <w:tc>
          <w:tcPr>
            <w:tcW w:w="3450" w:type="dxa"/>
            <w:tcBorders>
              <w:top w:val="outset" w:sz="6" w:space="0" w:color="14A5BD"/>
              <w:left w:val="outset" w:sz="6" w:space="0" w:color="14A5BD"/>
              <w:bottom w:val="outset" w:sz="6" w:space="0" w:color="14A5BD"/>
              <w:right w:val="outset" w:sz="6" w:space="0" w:color="14A5BD"/>
            </w:tcBorders>
            <w:vAlign w:val="center"/>
            <w:hideMark/>
          </w:tcPr>
          <w:p w:rsidR="00FE3626" w:rsidRDefault="00FE3626">
            <w:pPr>
              <w:jc w:val="center"/>
              <w:rPr>
                <w:rFonts w:ascii="Verdana" w:eastAsia="宋体" w:hAnsi="Verdana" w:cs="宋体"/>
                <w:sz w:val="18"/>
                <w:szCs w:val="18"/>
              </w:rPr>
            </w:pPr>
            <w:r>
              <w:rPr>
                <w:rStyle w:val="a8"/>
                <w:rFonts w:ascii="Verdana" w:hAnsi="Verdana"/>
                <w:sz w:val="18"/>
                <w:szCs w:val="18"/>
              </w:rPr>
              <w:lastRenderedPageBreak/>
              <w:t>概述</w:t>
            </w:r>
          </w:p>
        </w:tc>
        <w:tc>
          <w:tcPr>
            <w:tcW w:w="6000" w:type="dxa"/>
            <w:tcBorders>
              <w:top w:val="outset" w:sz="6" w:space="0" w:color="14A5BD"/>
              <w:left w:val="outset" w:sz="6" w:space="0" w:color="14A5BD"/>
              <w:bottom w:val="outset" w:sz="6" w:space="0" w:color="14A5BD"/>
              <w:right w:val="outset" w:sz="6" w:space="0" w:color="14A5BD"/>
            </w:tcBorders>
            <w:vAlign w:val="center"/>
            <w:hideMark/>
          </w:tcPr>
          <w:p w:rsidR="00FE3626" w:rsidRPr="00BC3C0E" w:rsidRDefault="00FE3626">
            <w:pPr>
              <w:rPr>
                <w:rFonts w:ascii="Verdana" w:hAnsi="Verdana"/>
                <w:sz w:val="18"/>
                <w:szCs w:val="18"/>
              </w:rPr>
            </w:pPr>
            <w:r w:rsidRPr="00BC3C0E">
              <w:rPr>
                <w:rFonts w:ascii="Verdana" w:hAnsi="Verdana"/>
                <w:sz w:val="18"/>
                <w:szCs w:val="18"/>
              </w:rPr>
              <w:t>软件项目管理的</w:t>
            </w:r>
            <w:r w:rsidRPr="00BC3C0E">
              <w:rPr>
                <w:rFonts w:ascii="Verdana" w:hAnsi="Verdana"/>
                <w:sz w:val="18"/>
                <w:szCs w:val="18"/>
              </w:rPr>
              <w:t>“Yes”</w:t>
            </w:r>
            <w:r w:rsidRPr="00BC3C0E">
              <w:rPr>
                <w:rFonts w:ascii="Verdana" w:hAnsi="Verdana"/>
                <w:sz w:val="18"/>
                <w:szCs w:val="18"/>
              </w:rPr>
              <w:t>与</w:t>
            </w:r>
            <w:r w:rsidRPr="00BC3C0E">
              <w:rPr>
                <w:rFonts w:ascii="Verdana" w:hAnsi="Verdana"/>
                <w:sz w:val="18"/>
                <w:szCs w:val="18"/>
              </w:rPr>
              <w:t xml:space="preserve">“No” </w:t>
            </w:r>
          </w:p>
          <w:p w:rsidR="00FE3626" w:rsidRPr="00BC3C0E" w:rsidRDefault="00FE3626">
            <w:pPr>
              <w:rPr>
                <w:rFonts w:ascii="Verdana" w:hAnsi="Verdana"/>
                <w:sz w:val="18"/>
                <w:szCs w:val="18"/>
              </w:rPr>
            </w:pPr>
            <w:r w:rsidRPr="00BC3C0E">
              <w:rPr>
                <w:rFonts w:ascii="Verdana" w:hAnsi="Verdana"/>
                <w:sz w:val="18"/>
                <w:szCs w:val="18"/>
              </w:rPr>
              <w:t>软件项目的</w:t>
            </w:r>
            <w:r w:rsidRPr="00BC3C0E">
              <w:rPr>
                <w:rFonts w:ascii="Verdana" w:hAnsi="Verdana"/>
                <w:sz w:val="18"/>
                <w:szCs w:val="18"/>
              </w:rPr>
              <w:t>“</w:t>
            </w:r>
            <w:r w:rsidRPr="00BC3C0E">
              <w:rPr>
                <w:rFonts w:ascii="Verdana" w:hAnsi="Verdana"/>
                <w:sz w:val="18"/>
                <w:szCs w:val="18"/>
              </w:rPr>
              <w:t>魔鬼数字</w:t>
            </w:r>
            <w:r w:rsidRPr="00BC3C0E">
              <w:rPr>
                <w:rFonts w:ascii="Verdana" w:hAnsi="Verdana"/>
                <w:sz w:val="18"/>
                <w:szCs w:val="18"/>
              </w:rPr>
              <w:t xml:space="preserve">” </w:t>
            </w:r>
          </w:p>
        </w:tc>
      </w:tr>
      <w:tr w:rsidR="00FE3626" w:rsidTr="00BC3C0E">
        <w:trPr>
          <w:trHeight w:val="791"/>
          <w:tblCellSpacing w:w="0" w:type="dxa"/>
        </w:trPr>
        <w:tc>
          <w:tcPr>
            <w:tcW w:w="0" w:type="auto"/>
            <w:tcBorders>
              <w:top w:val="outset" w:sz="6" w:space="0" w:color="14A5BD"/>
              <w:left w:val="outset" w:sz="6" w:space="0" w:color="14A5BD"/>
              <w:bottom w:val="outset" w:sz="6" w:space="0" w:color="14A5BD"/>
              <w:right w:val="outset" w:sz="6" w:space="0" w:color="14A5BD"/>
            </w:tcBorders>
            <w:vAlign w:val="center"/>
            <w:hideMark/>
          </w:tcPr>
          <w:p w:rsidR="00FE3626" w:rsidRDefault="00FE3626">
            <w:pPr>
              <w:jc w:val="center"/>
              <w:rPr>
                <w:rFonts w:ascii="Verdana" w:eastAsia="宋体" w:hAnsi="Verdana" w:cs="宋体"/>
                <w:sz w:val="18"/>
                <w:szCs w:val="18"/>
              </w:rPr>
            </w:pPr>
            <w:r>
              <w:rPr>
                <w:rStyle w:val="a8"/>
                <w:rFonts w:ascii="Verdana" w:hAnsi="Verdana"/>
                <w:sz w:val="18"/>
                <w:szCs w:val="18"/>
              </w:rPr>
              <w:t>第</w:t>
            </w:r>
            <w:r>
              <w:rPr>
                <w:rStyle w:val="a8"/>
                <w:rFonts w:ascii="Verdana" w:hAnsi="Verdana"/>
                <w:sz w:val="18"/>
                <w:szCs w:val="18"/>
              </w:rPr>
              <w:t>1</w:t>
            </w:r>
            <w:r>
              <w:rPr>
                <w:rStyle w:val="a8"/>
                <w:rFonts w:ascii="Verdana" w:hAnsi="Verdana"/>
                <w:sz w:val="18"/>
                <w:szCs w:val="18"/>
              </w:rPr>
              <w:t>计</w:t>
            </w:r>
            <w:r>
              <w:rPr>
                <w:rStyle w:val="a8"/>
                <w:rFonts w:ascii="Verdana" w:hAnsi="Verdana"/>
                <w:sz w:val="18"/>
                <w:szCs w:val="18"/>
              </w:rPr>
              <w:t xml:space="preserve"> </w:t>
            </w:r>
            <w:r>
              <w:rPr>
                <w:rStyle w:val="a8"/>
                <w:rFonts w:ascii="Verdana" w:hAnsi="Verdana"/>
                <w:sz w:val="18"/>
                <w:szCs w:val="18"/>
              </w:rPr>
              <w:t>未有项目之前</w:t>
            </w:r>
            <w:r>
              <w:rPr>
                <w:rStyle w:val="a8"/>
                <w:rFonts w:ascii="Verdana" w:hAnsi="Verdana"/>
                <w:sz w:val="18"/>
                <w:szCs w:val="18"/>
              </w:rPr>
              <w:t>——</w:t>
            </w:r>
            <w:r>
              <w:rPr>
                <w:rStyle w:val="a8"/>
                <w:rFonts w:ascii="Verdana" w:hAnsi="Verdana"/>
                <w:sz w:val="18"/>
                <w:szCs w:val="18"/>
              </w:rPr>
              <w:t>需求开发暨</w:t>
            </w:r>
            <w:r>
              <w:rPr>
                <w:rStyle w:val="a8"/>
                <w:rFonts w:ascii="Verdana" w:hAnsi="Verdana"/>
                <w:sz w:val="18"/>
                <w:szCs w:val="18"/>
              </w:rPr>
              <w:t>“</w:t>
            </w:r>
            <w:r>
              <w:rPr>
                <w:rStyle w:val="a8"/>
                <w:rFonts w:ascii="Verdana" w:hAnsi="Verdana"/>
                <w:sz w:val="18"/>
                <w:szCs w:val="18"/>
              </w:rPr>
              <w:t>认识项目的相关方</w:t>
            </w:r>
            <w:r>
              <w:rPr>
                <w:rStyle w:val="a8"/>
                <w:rFonts w:ascii="Verdana" w:hAnsi="Verdana"/>
                <w:sz w:val="18"/>
                <w:szCs w:val="18"/>
              </w:rPr>
              <w:t>”</w:t>
            </w:r>
          </w:p>
        </w:tc>
        <w:tc>
          <w:tcPr>
            <w:tcW w:w="0" w:type="auto"/>
            <w:tcBorders>
              <w:top w:val="outset" w:sz="6" w:space="0" w:color="14A5BD"/>
              <w:left w:val="outset" w:sz="6" w:space="0" w:color="14A5BD"/>
              <w:bottom w:val="outset" w:sz="6" w:space="0" w:color="14A5BD"/>
              <w:right w:val="outset" w:sz="6" w:space="0" w:color="14A5BD"/>
            </w:tcBorders>
            <w:vAlign w:val="center"/>
            <w:hideMark/>
          </w:tcPr>
          <w:p w:rsidR="00FE3626" w:rsidRPr="00BC3C0E" w:rsidRDefault="00FE3626">
            <w:pPr>
              <w:rPr>
                <w:rFonts w:ascii="Verdana" w:hAnsi="Verdana"/>
                <w:sz w:val="18"/>
                <w:szCs w:val="18"/>
              </w:rPr>
            </w:pPr>
            <w:r w:rsidRPr="00BC3C0E">
              <w:rPr>
                <w:rFonts w:ascii="Verdana" w:hAnsi="Verdana"/>
                <w:sz w:val="18"/>
                <w:szCs w:val="18"/>
              </w:rPr>
              <w:t>需求开发</w:t>
            </w:r>
            <w:r w:rsidRPr="00BC3C0E">
              <w:rPr>
                <w:rFonts w:ascii="Verdana" w:hAnsi="Verdana"/>
                <w:sz w:val="18"/>
                <w:szCs w:val="18"/>
              </w:rPr>
              <w:t xml:space="preserve"> = </w:t>
            </w:r>
            <w:r w:rsidRPr="00BC3C0E">
              <w:rPr>
                <w:rFonts w:ascii="Verdana" w:hAnsi="Verdana"/>
                <w:sz w:val="18"/>
                <w:szCs w:val="18"/>
              </w:rPr>
              <w:t>认识相关方</w:t>
            </w:r>
            <w:r w:rsidRPr="00BC3C0E">
              <w:rPr>
                <w:rFonts w:ascii="Verdana" w:hAnsi="Verdana"/>
                <w:sz w:val="18"/>
                <w:szCs w:val="18"/>
              </w:rPr>
              <w:t xml:space="preserve"> = </w:t>
            </w:r>
            <w:r w:rsidRPr="00BC3C0E">
              <w:rPr>
                <w:rFonts w:ascii="Verdana" w:hAnsi="Verdana"/>
                <w:sz w:val="18"/>
                <w:szCs w:val="18"/>
              </w:rPr>
              <w:t>识别相关方</w:t>
            </w:r>
            <w:r w:rsidRPr="00BC3C0E">
              <w:rPr>
                <w:rFonts w:ascii="Verdana" w:hAnsi="Verdana"/>
                <w:sz w:val="18"/>
                <w:szCs w:val="18"/>
              </w:rPr>
              <w:t>+</w:t>
            </w:r>
            <w:r w:rsidRPr="00BC3C0E">
              <w:rPr>
                <w:rFonts w:ascii="Verdana" w:hAnsi="Verdana"/>
                <w:sz w:val="18"/>
                <w:szCs w:val="18"/>
              </w:rPr>
              <w:t>识别相关方对于项目的期望值</w:t>
            </w:r>
          </w:p>
          <w:p w:rsidR="00FE3626" w:rsidRPr="00BC3C0E" w:rsidRDefault="00FE3626">
            <w:pPr>
              <w:rPr>
                <w:rFonts w:ascii="Verdana" w:hAnsi="Verdana"/>
                <w:sz w:val="18"/>
                <w:szCs w:val="18"/>
              </w:rPr>
            </w:pPr>
            <w:r w:rsidRPr="00BC3C0E">
              <w:rPr>
                <w:rFonts w:ascii="Verdana" w:hAnsi="Verdana"/>
                <w:sz w:val="18"/>
                <w:szCs w:val="18"/>
              </w:rPr>
              <w:t>相关方期望值实例介绍</w:t>
            </w:r>
          </w:p>
        </w:tc>
      </w:tr>
      <w:tr w:rsidR="00FE3626" w:rsidTr="00FE3626">
        <w:trPr>
          <w:tblCellSpacing w:w="0" w:type="dxa"/>
        </w:trPr>
        <w:tc>
          <w:tcPr>
            <w:tcW w:w="0" w:type="auto"/>
            <w:tcBorders>
              <w:top w:val="outset" w:sz="6" w:space="0" w:color="14A5BD"/>
              <w:left w:val="outset" w:sz="6" w:space="0" w:color="14A5BD"/>
              <w:bottom w:val="outset" w:sz="6" w:space="0" w:color="14A5BD"/>
              <w:right w:val="outset" w:sz="6" w:space="0" w:color="14A5BD"/>
            </w:tcBorders>
            <w:vAlign w:val="center"/>
            <w:hideMark/>
          </w:tcPr>
          <w:p w:rsidR="00FE3626" w:rsidRDefault="00FE3626">
            <w:pPr>
              <w:jc w:val="center"/>
              <w:rPr>
                <w:rFonts w:ascii="Verdana" w:eastAsia="宋体" w:hAnsi="Verdana" w:cs="宋体"/>
                <w:sz w:val="18"/>
                <w:szCs w:val="18"/>
              </w:rPr>
            </w:pPr>
            <w:r>
              <w:rPr>
                <w:rStyle w:val="a8"/>
                <w:rFonts w:ascii="Verdana" w:hAnsi="Verdana"/>
                <w:sz w:val="18"/>
                <w:szCs w:val="18"/>
              </w:rPr>
              <w:t>第</w:t>
            </w:r>
            <w:r>
              <w:rPr>
                <w:rStyle w:val="a8"/>
                <w:rFonts w:ascii="Verdana" w:hAnsi="Verdana"/>
                <w:sz w:val="18"/>
                <w:szCs w:val="18"/>
              </w:rPr>
              <w:t>2</w:t>
            </w:r>
            <w:r>
              <w:rPr>
                <w:rStyle w:val="a8"/>
                <w:rFonts w:ascii="Verdana" w:hAnsi="Verdana"/>
                <w:sz w:val="18"/>
                <w:szCs w:val="18"/>
              </w:rPr>
              <w:t>计</w:t>
            </w:r>
            <w:r>
              <w:rPr>
                <w:rStyle w:val="a8"/>
                <w:rFonts w:ascii="Verdana" w:hAnsi="Verdana"/>
                <w:sz w:val="18"/>
                <w:szCs w:val="18"/>
              </w:rPr>
              <w:t xml:space="preserve"> </w:t>
            </w:r>
            <w:r>
              <w:rPr>
                <w:rStyle w:val="a8"/>
                <w:rFonts w:ascii="Verdana" w:hAnsi="Verdana"/>
                <w:sz w:val="18"/>
                <w:szCs w:val="18"/>
              </w:rPr>
              <w:t>以终为始</w:t>
            </w:r>
            <w:r>
              <w:rPr>
                <w:rStyle w:val="a8"/>
                <w:rFonts w:ascii="Verdana" w:hAnsi="Verdana"/>
                <w:sz w:val="18"/>
                <w:szCs w:val="18"/>
              </w:rPr>
              <w:t>——</w:t>
            </w:r>
            <w:r>
              <w:rPr>
                <w:rStyle w:val="a8"/>
                <w:rFonts w:ascii="Verdana" w:hAnsi="Verdana"/>
                <w:sz w:val="18"/>
                <w:szCs w:val="18"/>
              </w:rPr>
              <w:t>如何让项目的计划更象</w:t>
            </w:r>
            <w:r>
              <w:rPr>
                <w:rStyle w:val="a8"/>
                <w:rFonts w:ascii="Verdana" w:hAnsi="Verdana"/>
                <w:sz w:val="18"/>
                <w:szCs w:val="18"/>
              </w:rPr>
              <w:t>“</w:t>
            </w:r>
            <w:r>
              <w:rPr>
                <w:rStyle w:val="a8"/>
                <w:rFonts w:ascii="Verdana" w:hAnsi="Verdana"/>
                <w:sz w:val="18"/>
                <w:szCs w:val="18"/>
              </w:rPr>
              <w:t>项目的</w:t>
            </w:r>
            <w:r>
              <w:rPr>
                <w:rStyle w:val="a8"/>
                <w:rFonts w:ascii="Verdana" w:hAnsi="Verdana"/>
                <w:sz w:val="18"/>
                <w:szCs w:val="18"/>
              </w:rPr>
              <w:t>”</w:t>
            </w:r>
            <w:r>
              <w:rPr>
                <w:rStyle w:val="a8"/>
                <w:rFonts w:ascii="Verdana" w:hAnsi="Verdana"/>
                <w:sz w:val="18"/>
                <w:szCs w:val="18"/>
              </w:rPr>
              <w:t>计划</w:t>
            </w:r>
          </w:p>
        </w:tc>
        <w:tc>
          <w:tcPr>
            <w:tcW w:w="0" w:type="auto"/>
            <w:tcBorders>
              <w:top w:val="outset" w:sz="6" w:space="0" w:color="14A5BD"/>
              <w:left w:val="outset" w:sz="6" w:space="0" w:color="14A5BD"/>
              <w:bottom w:val="outset" w:sz="6" w:space="0" w:color="14A5BD"/>
              <w:right w:val="outset" w:sz="6" w:space="0" w:color="14A5BD"/>
            </w:tcBorders>
            <w:vAlign w:val="center"/>
            <w:hideMark/>
          </w:tcPr>
          <w:p w:rsidR="00FE3626" w:rsidRPr="00BC3C0E" w:rsidRDefault="00FE3626">
            <w:pPr>
              <w:rPr>
                <w:rFonts w:ascii="Verdana" w:hAnsi="Verdana"/>
                <w:sz w:val="18"/>
                <w:szCs w:val="18"/>
              </w:rPr>
            </w:pPr>
            <w:r w:rsidRPr="00BC3C0E">
              <w:rPr>
                <w:rFonts w:ascii="Verdana" w:hAnsi="Verdana"/>
                <w:sz w:val="18"/>
                <w:szCs w:val="18"/>
              </w:rPr>
              <w:t>项目的</w:t>
            </w:r>
            <w:r w:rsidRPr="00BC3C0E">
              <w:rPr>
                <w:rFonts w:ascii="Verdana" w:hAnsi="Verdana"/>
                <w:sz w:val="18"/>
                <w:szCs w:val="18"/>
              </w:rPr>
              <w:t>4</w:t>
            </w:r>
            <w:r w:rsidRPr="00BC3C0E">
              <w:rPr>
                <w:rFonts w:ascii="Verdana" w:hAnsi="Verdana"/>
                <w:sz w:val="18"/>
                <w:szCs w:val="18"/>
              </w:rPr>
              <w:t>大目标</w:t>
            </w:r>
          </w:p>
          <w:p w:rsidR="00FE3626" w:rsidRPr="00BC3C0E" w:rsidRDefault="00FE3626">
            <w:pPr>
              <w:rPr>
                <w:rFonts w:ascii="Verdana" w:hAnsi="Verdana"/>
                <w:sz w:val="18"/>
                <w:szCs w:val="18"/>
              </w:rPr>
            </w:pPr>
            <w:r w:rsidRPr="00BC3C0E">
              <w:rPr>
                <w:rFonts w:ascii="Verdana" w:hAnsi="Verdana"/>
                <w:sz w:val="18"/>
                <w:szCs w:val="18"/>
              </w:rPr>
              <w:t>识别项目目标的</w:t>
            </w:r>
            <w:r w:rsidRPr="00BC3C0E">
              <w:rPr>
                <w:rFonts w:ascii="Verdana" w:hAnsi="Verdana"/>
                <w:sz w:val="18"/>
                <w:szCs w:val="18"/>
              </w:rPr>
              <w:t>“</w:t>
            </w:r>
            <w:r w:rsidRPr="00BC3C0E">
              <w:rPr>
                <w:rFonts w:ascii="Verdana" w:hAnsi="Verdana"/>
                <w:sz w:val="18"/>
                <w:szCs w:val="18"/>
              </w:rPr>
              <w:t>因果关系图</w:t>
            </w:r>
            <w:r w:rsidRPr="00BC3C0E">
              <w:rPr>
                <w:rFonts w:ascii="Verdana" w:hAnsi="Verdana"/>
                <w:sz w:val="18"/>
                <w:szCs w:val="18"/>
              </w:rPr>
              <w:t>”</w:t>
            </w:r>
            <w:r w:rsidRPr="00BC3C0E">
              <w:rPr>
                <w:rFonts w:ascii="Verdana" w:hAnsi="Verdana"/>
                <w:sz w:val="18"/>
                <w:szCs w:val="18"/>
              </w:rPr>
              <w:t>方法</w:t>
            </w:r>
          </w:p>
          <w:p w:rsidR="00FE3626" w:rsidRPr="00BC3C0E" w:rsidRDefault="00FE3626">
            <w:pPr>
              <w:rPr>
                <w:rFonts w:ascii="Verdana" w:hAnsi="Verdana"/>
                <w:sz w:val="18"/>
                <w:szCs w:val="18"/>
              </w:rPr>
            </w:pPr>
            <w:r w:rsidRPr="00BC3C0E">
              <w:rPr>
                <w:rFonts w:ascii="Verdana" w:hAnsi="Verdana"/>
                <w:sz w:val="18"/>
                <w:szCs w:val="18"/>
              </w:rPr>
              <w:t>从项目的目标到项目的</w:t>
            </w:r>
            <w:r w:rsidRPr="00BC3C0E">
              <w:rPr>
                <w:rFonts w:ascii="Verdana" w:hAnsi="Verdana"/>
                <w:sz w:val="18"/>
                <w:szCs w:val="18"/>
              </w:rPr>
              <w:t>“</w:t>
            </w:r>
            <w:r w:rsidRPr="00BC3C0E">
              <w:rPr>
                <w:rFonts w:ascii="Verdana" w:hAnsi="Verdana"/>
                <w:sz w:val="18"/>
                <w:szCs w:val="18"/>
              </w:rPr>
              <w:t>关键活动项</w:t>
            </w:r>
            <w:r w:rsidRPr="00BC3C0E">
              <w:rPr>
                <w:rFonts w:ascii="Verdana" w:hAnsi="Verdana"/>
                <w:sz w:val="18"/>
                <w:szCs w:val="18"/>
              </w:rPr>
              <w:t>”</w:t>
            </w:r>
            <w:r w:rsidRPr="00BC3C0E">
              <w:rPr>
                <w:rFonts w:ascii="Verdana" w:hAnsi="Verdana"/>
                <w:sz w:val="18"/>
                <w:szCs w:val="18"/>
              </w:rPr>
              <w:t>的分解</w:t>
            </w:r>
          </w:p>
        </w:tc>
      </w:tr>
      <w:tr w:rsidR="00FE3626" w:rsidTr="00BC3C0E">
        <w:trPr>
          <w:trHeight w:val="1806"/>
          <w:tblCellSpacing w:w="0" w:type="dxa"/>
        </w:trPr>
        <w:tc>
          <w:tcPr>
            <w:tcW w:w="0" w:type="auto"/>
            <w:tcBorders>
              <w:top w:val="outset" w:sz="6" w:space="0" w:color="14A5BD"/>
              <w:left w:val="outset" w:sz="6" w:space="0" w:color="14A5BD"/>
              <w:bottom w:val="outset" w:sz="6" w:space="0" w:color="14A5BD"/>
              <w:right w:val="outset" w:sz="6" w:space="0" w:color="14A5BD"/>
            </w:tcBorders>
            <w:vAlign w:val="center"/>
            <w:hideMark/>
          </w:tcPr>
          <w:p w:rsidR="00FE3626" w:rsidRDefault="00FE3626">
            <w:pPr>
              <w:jc w:val="center"/>
              <w:rPr>
                <w:rFonts w:ascii="Verdana" w:eastAsia="宋体" w:hAnsi="Verdana" w:cs="宋体"/>
                <w:sz w:val="18"/>
                <w:szCs w:val="18"/>
              </w:rPr>
            </w:pPr>
            <w:r>
              <w:rPr>
                <w:rStyle w:val="a8"/>
                <w:rFonts w:ascii="Verdana" w:hAnsi="Verdana"/>
                <w:sz w:val="18"/>
                <w:szCs w:val="18"/>
              </w:rPr>
              <w:t>第</w:t>
            </w:r>
            <w:r>
              <w:rPr>
                <w:rStyle w:val="a8"/>
                <w:rFonts w:ascii="Verdana" w:hAnsi="Verdana"/>
                <w:sz w:val="18"/>
                <w:szCs w:val="18"/>
              </w:rPr>
              <w:t>3</w:t>
            </w:r>
            <w:r>
              <w:rPr>
                <w:rStyle w:val="a8"/>
                <w:rFonts w:ascii="Verdana" w:hAnsi="Verdana"/>
                <w:sz w:val="18"/>
                <w:szCs w:val="18"/>
              </w:rPr>
              <w:t>计</w:t>
            </w:r>
            <w:r>
              <w:rPr>
                <w:rStyle w:val="a8"/>
                <w:rFonts w:ascii="Verdana" w:hAnsi="Verdana"/>
                <w:sz w:val="18"/>
                <w:szCs w:val="18"/>
              </w:rPr>
              <w:t xml:space="preserve"> y=f(X)——</w:t>
            </w:r>
            <w:r>
              <w:rPr>
                <w:rStyle w:val="a8"/>
                <w:rFonts w:ascii="Verdana" w:hAnsi="Verdana"/>
                <w:sz w:val="18"/>
                <w:szCs w:val="18"/>
              </w:rPr>
              <w:t>软件项目估算方法和技术</w:t>
            </w:r>
          </w:p>
        </w:tc>
        <w:tc>
          <w:tcPr>
            <w:tcW w:w="0" w:type="auto"/>
            <w:tcBorders>
              <w:top w:val="outset" w:sz="6" w:space="0" w:color="14A5BD"/>
              <w:left w:val="outset" w:sz="6" w:space="0" w:color="14A5BD"/>
              <w:bottom w:val="outset" w:sz="6" w:space="0" w:color="14A5BD"/>
              <w:right w:val="outset" w:sz="6" w:space="0" w:color="14A5BD"/>
            </w:tcBorders>
            <w:vAlign w:val="center"/>
            <w:hideMark/>
          </w:tcPr>
          <w:p w:rsidR="00FE3626" w:rsidRPr="00BC3C0E" w:rsidRDefault="00FE3626">
            <w:pPr>
              <w:rPr>
                <w:rFonts w:ascii="Verdana" w:hAnsi="Verdana"/>
                <w:sz w:val="18"/>
                <w:szCs w:val="18"/>
              </w:rPr>
            </w:pPr>
            <w:r w:rsidRPr="00BC3C0E">
              <w:rPr>
                <w:rFonts w:ascii="Verdana" w:hAnsi="Verdana"/>
                <w:sz w:val="18"/>
                <w:szCs w:val="18"/>
              </w:rPr>
              <w:t>估算不是掐指一算</w:t>
            </w:r>
          </w:p>
          <w:p w:rsidR="00FE3626" w:rsidRPr="00BC3C0E" w:rsidRDefault="00FE3626">
            <w:pPr>
              <w:rPr>
                <w:rFonts w:ascii="Verdana" w:hAnsi="Verdana"/>
                <w:sz w:val="18"/>
                <w:szCs w:val="18"/>
              </w:rPr>
            </w:pPr>
            <w:r w:rsidRPr="00BC3C0E">
              <w:rPr>
                <w:rFonts w:ascii="Verdana" w:hAnsi="Verdana"/>
                <w:sz w:val="18"/>
                <w:szCs w:val="18"/>
              </w:rPr>
              <w:t>软件项目规模估算</w:t>
            </w:r>
            <w:r w:rsidRPr="00BC3C0E">
              <w:rPr>
                <w:rFonts w:ascii="Verdana" w:hAnsi="Verdana"/>
                <w:sz w:val="18"/>
                <w:szCs w:val="18"/>
              </w:rPr>
              <w:t>::</w:t>
            </w:r>
            <w:r w:rsidRPr="00BC3C0E">
              <w:rPr>
                <w:rFonts w:ascii="Verdana" w:hAnsi="Verdana"/>
                <w:sz w:val="18"/>
                <w:szCs w:val="18"/>
              </w:rPr>
              <w:t>功能点（</w:t>
            </w:r>
            <w:r w:rsidRPr="00BC3C0E">
              <w:rPr>
                <w:rFonts w:ascii="Verdana" w:hAnsi="Verdana"/>
                <w:sz w:val="18"/>
                <w:szCs w:val="18"/>
              </w:rPr>
              <w:t>Function Point</w:t>
            </w:r>
            <w:r w:rsidRPr="00BC3C0E">
              <w:rPr>
                <w:rFonts w:ascii="Verdana" w:hAnsi="Verdana"/>
                <w:sz w:val="18"/>
                <w:szCs w:val="18"/>
              </w:rPr>
              <w:t>）估算技术介绍</w:t>
            </w:r>
          </w:p>
          <w:p w:rsidR="00FE3626" w:rsidRPr="00BC3C0E" w:rsidRDefault="00FE3626">
            <w:pPr>
              <w:rPr>
                <w:rFonts w:ascii="Verdana" w:hAnsi="Verdana"/>
                <w:sz w:val="18"/>
                <w:szCs w:val="18"/>
              </w:rPr>
            </w:pPr>
            <w:r w:rsidRPr="00BC3C0E">
              <w:rPr>
                <w:rFonts w:ascii="Verdana" w:hAnsi="Verdana"/>
                <w:sz w:val="18"/>
                <w:szCs w:val="18"/>
              </w:rPr>
              <w:t>软件项目成本估算</w:t>
            </w:r>
            <w:r w:rsidRPr="00BC3C0E">
              <w:rPr>
                <w:rFonts w:ascii="Verdana" w:hAnsi="Verdana"/>
                <w:sz w:val="18"/>
                <w:szCs w:val="18"/>
              </w:rPr>
              <w:t>::COCOMO II</w:t>
            </w:r>
            <w:r w:rsidRPr="00BC3C0E">
              <w:rPr>
                <w:rFonts w:ascii="Verdana" w:hAnsi="Verdana"/>
                <w:sz w:val="18"/>
                <w:szCs w:val="18"/>
              </w:rPr>
              <w:t>估算技术快速介绍</w:t>
            </w:r>
          </w:p>
          <w:p w:rsidR="00FE3626" w:rsidRPr="00BC3C0E" w:rsidRDefault="00FE3626">
            <w:pPr>
              <w:rPr>
                <w:rFonts w:ascii="Verdana" w:hAnsi="Verdana"/>
                <w:sz w:val="18"/>
                <w:szCs w:val="18"/>
              </w:rPr>
            </w:pPr>
            <w:r w:rsidRPr="00BC3C0E">
              <w:rPr>
                <w:rFonts w:ascii="Verdana" w:hAnsi="Verdana"/>
                <w:sz w:val="18"/>
                <w:szCs w:val="18"/>
              </w:rPr>
              <w:t>软件项目进度估算</w:t>
            </w:r>
            <w:r w:rsidRPr="00BC3C0E">
              <w:rPr>
                <w:rFonts w:ascii="Verdana" w:hAnsi="Verdana"/>
                <w:sz w:val="18"/>
                <w:szCs w:val="18"/>
              </w:rPr>
              <w:t>:: COCOMO II</w:t>
            </w:r>
            <w:r w:rsidRPr="00BC3C0E">
              <w:rPr>
                <w:rFonts w:ascii="Verdana" w:hAnsi="Verdana"/>
                <w:sz w:val="18"/>
                <w:szCs w:val="18"/>
              </w:rPr>
              <w:t>估算技术快速介绍</w:t>
            </w:r>
          </w:p>
          <w:p w:rsidR="00FE3626" w:rsidRPr="00BC3C0E" w:rsidRDefault="00FE3626">
            <w:pPr>
              <w:rPr>
                <w:rFonts w:ascii="Verdana" w:hAnsi="Verdana"/>
                <w:sz w:val="18"/>
                <w:szCs w:val="18"/>
              </w:rPr>
            </w:pPr>
            <w:r w:rsidRPr="00BC3C0E">
              <w:rPr>
                <w:rFonts w:ascii="Verdana" w:hAnsi="Verdana"/>
                <w:sz w:val="18"/>
                <w:szCs w:val="18"/>
              </w:rPr>
              <w:t>企业级估算模型案例展示</w:t>
            </w:r>
            <w:r w:rsidRPr="00BC3C0E">
              <w:rPr>
                <w:rFonts w:ascii="Verdana" w:hAnsi="Verdana"/>
                <w:sz w:val="18"/>
                <w:szCs w:val="18"/>
              </w:rPr>
              <w:t>——</w:t>
            </w:r>
            <w:r w:rsidRPr="00BC3C0E">
              <w:rPr>
                <w:rFonts w:ascii="Verdana" w:hAnsi="Verdana"/>
                <w:sz w:val="18"/>
                <w:szCs w:val="18"/>
              </w:rPr>
              <w:t>更为有效更为贴近实际的估算方法</w:t>
            </w:r>
          </w:p>
        </w:tc>
      </w:tr>
      <w:tr w:rsidR="00FE3626" w:rsidTr="00BC3C0E">
        <w:trPr>
          <w:trHeight w:val="1461"/>
          <w:tblCellSpacing w:w="0" w:type="dxa"/>
        </w:trPr>
        <w:tc>
          <w:tcPr>
            <w:tcW w:w="0" w:type="auto"/>
            <w:tcBorders>
              <w:top w:val="outset" w:sz="6" w:space="0" w:color="14A5BD"/>
              <w:left w:val="outset" w:sz="6" w:space="0" w:color="14A5BD"/>
              <w:bottom w:val="outset" w:sz="6" w:space="0" w:color="14A5BD"/>
              <w:right w:val="outset" w:sz="6" w:space="0" w:color="14A5BD"/>
            </w:tcBorders>
            <w:vAlign w:val="center"/>
            <w:hideMark/>
          </w:tcPr>
          <w:p w:rsidR="00FE3626" w:rsidRDefault="00FE3626">
            <w:pPr>
              <w:jc w:val="center"/>
              <w:rPr>
                <w:rFonts w:ascii="Verdana" w:eastAsia="宋体" w:hAnsi="Verdana" w:cs="宋体"/>
                <w:sz w:val="18"/>
                <w:szCs w:val="18"/>
              </w:rPr>
            </w:pPr>
            <w:r>
              <w:rPr>
                <w:rStyle w:val="a8"/>
                <w:rFonts w:ascii="Verdana" w:hAnsi="Verdana"/>
                <w:sz w:val="18"/>
                <w:szCs w:val="18"/>
              </w:rPr>
              <w:t>第</w:t>
            </w:r>
            <w:r>
              <w:rPr>
                <w:rStyle w:val="a8"/>
                <w:rFonts w:ascii="Verdana" w:hAnsi="Verdana"/>
                <w:sz w:val="18"/>
                <w:szCs w:val="18"/>
              </w:rPr>
              <w:t>4</w:t>
            </w:r>
            <w:r>
              <w:rPr>
                <w:rStyle w:val="a8"/>
                <w:rFonts w:ascii="Verdana" w:hAnsi="Verdana"/>
                <w:sz w:val="18"/>
                <w:szCs w:val="18"/>
              </w:rPr>
              <w:t>计</w:t>
            </w:r>
            <w:r>
              <w:rPr>
                <w:rStyle w:val="a8"/>
                <w:rFonts w:ascii="Verdana" w:hAnsi="Verdana"/>
                <w:sz w:val="18"/>
                <w:szCs w:val="18"/>
              </w:rPr>
              <w:t xml:space="preserve"> Reconcile——</w:t>
            </w:r>
            <w:r>
              <w:rPr>
                <w:rStyle w:val="a8"/>
                <w:rFonts w:ascii="Verdana" w:hAnsi="Verdana"/>
                <w:sz w:val="18"/>
                <w:szCs w:val="18"/>
              </w:rPr>
              <w:t>估算与项目计划之间的关系</w:t>
            </w:r>
          </w:p>
        </w:tc>
        <w:tc>
          <w:tcPr>
            <w:tcW w:w="0" w:type="auto"/>
            <w:tcBorders>
              <w:top w:val="outset" w:sz="6" w:space="0" w:color="14A5BD"/>
              <w:left w:val="outset" w:sz="6" w:space="0" w:color="14A5BD"/>
              <w:bottom w:val="outset" w:sz="6" w:space="0" w:color="14A5BD"/>
              <w:right w:val="outset" w:sz="6" w:space="0" w:color="14A5BD"/>
            </w:tcBorders>
            <w:vAlign w:val="center"/>
            <w:hideMark/>
          </w:tcPr>
          <w:p w:rsidR="00FE3626" w:rsidRPr="00BC3C0E" w:rsidRDefault="00FE3626">
            <w:pPr>
              <w:rPr>
                <w:rFonts w:ascii="Verdana" w:hAnsi="Verdana"/>
                <w:sz w:val="18"/>
                <w:szCs w:val="18"/>
              </w:rPr>
            </w:pPr>
            <w:r w:rsidRPr="00BC3C0E">
              <w:rPr>
                <w:rFonts w:ascii="Verdana" w:hAnsi="Verdana"/>
                <w:sz w:val="18"/>
                <w:szCs w:val="18"/>
              </w:rPr>
              <w:t>估算、目标与承诺之间的区别与联系</w:t>
            </w:r>
          </w:p>
          <w:p w:rsidR="00FE3626" w:rsidRPr="00BC3C0E" w:rsidRDefault="00FE3626">
            <w:pPr>
              <w:rPr>
                <w:rFonts w:ascii="Verdana" w:hAnsi="Verdana"/>
                <w:sz w:val="18"/>
                <w:szCs w:val="18"/>
              </w:rPr>
            </w:pPr>
            <w:r w:rsidRPr="00BC3C0E">
              <w:rPr>
                <w:rFonts w:ascii="Verdana" w:hAnsi="Verdana"/>
                <w:sz w:val="18"/>
                <w:szCs w:val="18"/>
              </w:rPr>
              <w:t>估算的</w:t>
            </w:r>
            <w:r w:rsidRPr="00BC3C0E">
              <w:rPr>
                <w:rFonts w:ascii="Verdana" w:hAnsi="Verdana"/>
                <w:sz w:val="18"/>
                <w:szCs w:val="18"/>
              </w:rPr>
              <w:t>“</w:t>
            </w:r>
            <w:r w:rsidRPr="00BC3C0E">
              <w:rPr>
                <w:rFonts w:ascii="Verdana" w:hAnsi="Verdana"/>
                <w:sz w:val="18"/>
                <w:szCs w:val="18"/>
              </w:rPr>
              <w:t>不确定性锥</w:t>
            </w:r>
            <w:r w:rsidRPr="00BC3C0E">
              <w:rPr>
                <w:rFonts w:ascii="Verdana" w:hAnsi="Verdana"/>
                <w:sz w:val="18"/>
                <w:szCs w:val="18"/>
              </w:rPr>
              <w:t>”</w:t>
            </w:r>
            <w:r w:rsidRPr="00BC3C0E">
              <w:rPr>
                <w:rFonts w:ascii="Verdana" w:hAnsi="Verdana"/>
                <w:sz w:val="18"/>
                <w:szCs w:val="18"/>
              </w:rPr>
              <w:t>作用</w:t>
            </w:r>
          </w:p>
          <w:p w:rsidR="00FE3626" w:rsidRPr="00BC3C0E" w:rsidRDefault="00FE3626">
            <w:pPr>
              <w:rPr>
                <w:rFonts w:ascii="Verdana" w:hAnsi="Verdana"/>
                <w:sz w:val="18"/>
                <w:szCs w:val="18"/>
              </w:rPr>
            </w:pPr>
            <w:r w:rsidRPr="00BC3C0E">
              <w:rPr>
                <w:rFonts w:ascii="Verdana" w:hAnsi="Verdana"/>
                <w:sz w:val="18"/>
                <w:szCs w:val="18"/>
              </w:rPr>
              <w:t>利用多轮估算的结果调整项目的目标</w:t>
            </w:r>
          </w:p>
          <w:p w:rsidR="00FE3626" w:rsidRPr="00BC3C0E" w:rsidRDefault="00FE3626">
            <w:pPr>
              <w:rPr>
                <w:rFonts w:ascii="Verdana" w:hAnsi="Verdana"/>
                <w:sz w:val="18"/>
                <w:szCs w:val="18"/>
              </w:rPr>
            </w:pPr>
            <w:r w:rsidRPr="00BC3C0E">
              <w:rPr>
                <w:rFonts w:ascii="Verdana" w:hAnsi="Verdana"/>
                <w:sz w:val="18"/>
                <w:szCs w:val="18"/>
              </w:rPr>
              <w:t>重估算与重计划的阈值</w:t>
            </w:r>
          </w:p>
        </w:tc>
      </w:tr>
      <w:tr w:rsidR="00FE3626" w:rsidTr="00BC3C0E">
        <w:trPr>
          <w:trHeight w:val="1140"/>
          <w:tblCellSpacing w:w="0" w:type="dxa"/>
        </w:trPr>
        <w:tc>
          <w:tcPr>
            <w:tcW w:w="0" w:type="auto"/>
            <w:tcBorders>
              <w:top w:val="outset" w:sz="6" w:space="0" w:color="14A5BD"/>
              <w:left w:val="outset" w:sz="6" w:space="0" w:color="14A5BD"/>
              <w:bottom w:val="outset" w:sz="6" w:space="0" w:color="14A5BD"/>
              <w:right w:val="outset" w:sz="6" w:space="0" w:color="14A5BD"/>
            </w:tcBorders>
            <w:vAlign w:val="center"/>
            <w:hideMark/>
          </w:tcPr>
          <w:p w:rsidR="00FE3626" w:rsidRDefault="00FE3626">
            <w:pPr>
              <w:jc w:val="center"/>
              <w:rPr>
                <w:rFonts w:ascii="Verdana" w:eastAsia="宋体" w:hAnsi="Verdana" w:cs="宋体"/>
                <w:sz w:val="18"/>
                <w:szCs w:val="18"/>
              </w:rPr>
            </w:pPr>
            <w:r>
              <w:rPr>
                <w:rStyle w:val="a8"/>
                <w:rFonts w:ascii="Verdana" w:hAnsi="Verdana"/>
                <w:sz w:val="18"/>
                <w:szCs w:val="18"/>
              </w:rPr>
              <w:t>第</w:t>
            </w:r>
            <w:r>
              <w:rPr>
                <w:rStyle w:val="a8"/>
                <w:rFonts w:ascii="Verdana" w:hAnsi="Verdana"/>
                <w:sz w:val="18"/>
                <w:szCs w:val="18"/>
              </w:rPr>
              <w:t>5</w:t>
            </w:r>
            <w:r>
              <w:rPr>
                <w:rStyle w:val="a8"/>
                <w:rFonts w:ascii="Verdana" w:hAnsi="Verdana"/>
                <w:sz w:val="18"/>
                <w:szCs w:val="18"/>
              </w:rPr>
              <w:t>计</w:t>
            </w:r>
            <w:r>
              <w:rPr>
                <w:rStyle w:val="a8"/>
                <w:rFonts w:ascii="Verdana" w:hAnsi="Verdana"/>
                <w:sz w:val="18"/>
                <w:szCs w:val="18"/>
              </w:rPr>
              <w:t xml:space="preserve"> </w:t>
            </w:r>
            <w:r>
              <w:rPr>
                <w:rStyle w:val="a8"/>
                <w:rFonts w:ascii="Verdana" w:hAnsi="Verdana"/>
                <w:sz w:val="18"/>
                <w:szCs w:val="18"/>
              </w:rPr>
              <w:t>谋定而动</w:t>
            </w:r>
            <w:r>
              <w:rPr>
                <w:rStyle w:val="a8"/>
                <w:rFonts w:ascii="Verdana" w:hAnsi="Verdana"/>
                <w:sz w:val="18"/>
                <w:szCs w:val="18"/>
              </w:rPr>
              <w:t>——</w:t>
            </w:r>
            <w:r>
              <w:rPr>
                <w:rStyle w:val="a8"/>
                <w:rFonts w:ascii="Verdana" w:hAnsi="Verdana"/>
                <w:sz w:val="18"/>
                <w:szCs w:val="18"/>
              </w:rPr>
              <w:t>制定项目计划时的基本考量</w:t>
            </w:r>
          </w:p>
        </w:tc>
        <w:tc>
          <w:tcPr>
            <w:tcW w:w="0" w:type="auto"/>
            <w:tcBorders>
              <w:top w:val="outset" w:sz="6" w:space="0" w:color="14A5BD"/>
              <w:left w:val="outset" w:sz="6" w:space="0" w:color="14A5BD"/>
              <w:bottom w:val="outset" w:sz="6" w:space="0" w:color="14A5BD"/>
              <w:right w:val="outset" w:sz="6" w:space="0" w:color="14A5BD"/>
            </w:tcBorders>
            <w:vAlign w:val="center"/>
            <w:hideMark/>
          </w:tcPr>
          <w:p w:rsidR="00FE3626" w:rsidRPr="00BC3C0E" w:rsidRDefault="00FE3626">
            <w:pPr>
              <w:rPr>
                <w:rFonts w:ascii="Verdana" w:hAnsi="Verdana"/>
                <w:sz w:val="18"/>
                <w:szCs w:val="18"/>
              </w:rPr>
            </w:pPr>
            <w:r w:rsidRPr="00BC3C0E">
              <w:rPr>
                <w:rFonts w:ascii="Verdana" w:hAnsi="Verdana"/>
                <w:sz w:val="18"/>
                <w:szCs w:val="18"/>
              </w:rPr>
              <w:t>常见的项目生命周期模型</w:t>
            </w:r>
          </w:p>
          <w:p w:rsidR="00FE3626" w:rsidRPr="00BC3C0E" w:rsidRDefault="00FE3626">
            <w:pPr>
              <w:rPr>
                <w:rFonts w:ascii="Verdana" w:hAnsi="Verdana"/>
                <w:sz w:val="18"/>
                <w:szCs w:val="18"/>
              </w:rPr>
            </w:pPr>
            <w:r w:rsidRPr="00BC3C0E">
              <w:rPr>
                <w:rFonts w:ascii="Verdana" w:hAnsi="Verdana"/>
                <w:sz w:val="18"/>
                <w:szCs w:val="18"/>
              </w:rPr>
              <w:t>制定</w:t>
            </w:r>
            <w:r w:rsidRPr="00BC3C0E">
              <w:rPr>
                <w:rFonts w:ascii="Verdana" w:hAnsi="Verdana"/>
                <w:sz w:val="18"/>
                <w:szCs w:val="18"/>
              </w:rPr>
              <w:t>WBS</w:t>
            </w:r>
            <w:r w:rsidRPr="00BC3C0E">
              <w:rPr>
                <w:rFonts w:ascii="Verdana" w:hAnsi="Verdana"/>
                <w:sz w:val="18"/>
                <w:szCs w:val="18"/>
              </w:rPr>
              <w:t>（</w:t>
            </w:r>
            <w:r w:rsidRPr="00BC3C0E">
              <w:rPr>
                <w:rFonts w:ascii="Verdana" w:hAnsi="Verdana"/>
                <w:sz w:val="18"/>
                <w:szCs w:val="18"/>
              </w:rPr>
              <w:t>Work Breakdown Structure</w:t>
            </w:r>
            <w:r w:rsidRPr="00BC3C0E">
              <w:rPr>
                <w:rFonts w:ascii="Verdana" w:hAnsi="Verdana"/>
                <w:sz w:val="18"/>
                <w:szCs w:val="18"/>
              </w:rPr>
              <w:t>，工作任务分解结构）的</w:t>
            </w:r>
            <w:r w:rsidRPr="00BC3C0E">
              <w:rPr>
                <w:rFonts w:ascii="Verdana" w:hAnsi="Verdana"/>
                <w:sz w:val="18"/>
                <w:szCs w:val="18"/>
              </w:rPr>
              <w:t>“</w:t>
            </w:r>
            <w:r w:rsidRPr="00BC3C0E">
              <w:rPr>
                <w:rFonts w:ascii="Verdana" w:hAnsi="Verdana"/>
                <w:sz w:val="18"/>
                <w:szCs w:val="18"/>
              </w:rPr>
              <w:t>三大纪律八项注意</w:t>
            </w:r>
            <w:r w:rsidRPr="00BC3C0E">
              <w:rPr>
                <w:rFonts w:ascii="Verdana" w:hAnsi="Verdana"/>
                <w:sz w:val="18"/>
                <w:szCs w:val="18"/>
              </w:rPr>
              <w:t>”</w:t>
            </w:r>
          </w:p>
        </w:tc>
      </w:tr>
      <w:tr w:rsidR="00FE3626" w:rsidTr="00BC3C0E">
        <w:trPr>
          <w:trHeight w:val="572"/>
          <w:tblCellSpacing w:w="0" w:type="dxa"/>
        </w:trPr>
        <w:tc>
          <w:tcPr>
            <w:tcW w:w="0" w:type="auto"/>
            <w:tcBorders>
              <w:top w:val="outset" w:sz="6" w:space="0" w:color="14A5BD"/>
              <w:left w:val="outset" w:sz="6" w:space="0" w:color="14A5BD"/>
              <w:bottom w:val="outset" w:sz="6" w:space="0" w:color="14A5BD"/>
              <w:right w:val="outset" w:sz="6" w:space="0" w:color="14A5BD"/>
            </w:tcBorders>
            <w:vAlign w:val="center"/>
            <w:hideMark/>
          </w:tcPr>
          <w:p w:rsidR="00FE3626" w:rsidRDefault="00FE3626">
            <w:pPr>
              <w:jc w:val="center"/>
              <w:rPr>
                <w:rFonts w:ascii="Verdana" w:eastAsia="宋体" w:hAnsi="Verdana" w:cs="宋体"/>
                <w:sz w:val="18"/>
                <w:szCs w:val="18"/>
              </w:rPr>
            </w:pPr>
            <w:r>
              <w:rPr>
                <w:rStyle w:val="a8"/>
                <w:rFonts w:ascii="Verdana" w:hAnsi="Verdana"/>
                <w:sz w:val="18"/>
                <w:szCs w:val="18"/>
              </w:rPr>
              <w:t>第</w:t>
            </w:r>
            <w:r>
              <w:rPr>
                <w:rStyle w:val="a8"/>
                <w:rFonts w:ascii="Verdana" w:hAnsi="Verdana"/>
                <w:sz w:val="18"/>
                <w:szCs w:val="18"/>
              </w:rPr>
              <w:t>6</w:t>
            </w:r>
            <w:r>
              <w:rPr>
                <w:rStyle w:val="a8"/>
                <w:rFonts w:ascii="Verdana" w:hAnsi="Verdana"/>
                <w:sz w:val="18"/>
                <w:szCs w:val="18"/>
              </w:rPr>
              <w:t>计</w:t>
            </w:r>
            <w:r>
              <w:rPr>
                <w:rStyle w:val="a8"/>
                <w:rFonts w:ascii="Verdana" w:hAnsi="Verdana"/>
                <w:sz w:val="18"/>
                <w:szCs w:val="18"/>
              </w:rPr>
              <w:t xml:space="preserve"> </w:t>
            </w:r>
            <w:r>
              <w:rPr>
                <w:rStyle w:val="a8"/>
                <w:rFonts w:ascii="Verdana" w:hAnsi="Verdana"/>
                <w:sz w:val="18"/>
                <w:szCs w:val="18"/>
              </w:rPr>
              <w:t>三位一体</w:t>
            </w:r>
            <w:r>
              <w:rPr>
                <w:rStyle w:val="a8"/>
                <w:rFonts w:ascii="Verdana" w:hAnsi="Verdana"/>
                <w:sz w:val="18"/>
                <w:szCs w:val="18"/>
              </w:rPr>
              <w:t>——</w:t>
            </w:r>
            <w:r>
              <w:rPr>
                <w:rStyle w:val="a8"/>
                <w:rFonts w:ascii="Verdana" w:hAnsi="Verdana"/>
                <w:sz w:val="18"/>
                <w:szCs w:val="18"/>
              </w:rPr>
              <w:t>度量在项目监控中的应用</w:t>
            </w:r>
          </w:p>
        </w:tc>
        <w:tc>
          <w:tcPr>
            <w:tcW w:w="0" w:type="auto"/>
            <w:tcBorders>
              <w:top w:val="outset" w:sz="6" w:space="0" w:color="14A5BD"/>
              <w:left w:val="outset" w:sz="6" w:space="0" w:color="14A5BD"/>
              <w:bottom w:val="outset" w:sz="6" w:space="0" w:color="14A5BD"/>
              <w:right w:val="outset" w:sz="6" w:space="0" w:color="14A5BD"/>
            </w:tcBorders>
            <w:vAlign w:val="center"/>
            <w:hideMark/>
          </w:tcPr>
          <w:p w:rsidR="00FE3626" w:rsidRPr="00BC3C0E" w:rsidRDefault="00FE3626">
            <w:pPr>
              <w:rPr>
                <w:rFonts w:ascii="Verdana" w:eastAsia="宋体" w:hAnsi="Verdana" w:cs="宋体"/>
                <w:sz w:val="18"/>
                <w:szCs w:val="18"/>
              </w:rPr>
            </w:pPr>
            <w:r w:rsidRPr="00BC3C0E">
              <w:rPr>
                <w:rFonts w:ascii="Verdana" w:hAnsi="Verdana"/>
                <w:sz w:val="18"/>
                <w:szCs w:val="18"/>
              </w:rPr>
              <w:t>三位一体</w:t>
            </w:r>
            <w:r w:rsidRPr="00BC3C0E">
              <w:rPr>
                <w:rFonts w:ascii="Verdana" w:hAnsi="Verdana"/>
                <w:sz w:val="18"/>
                <w:szCs w:val="18"/>
              </w:rPr>
              <w:t>——</w:t>
            </w:r>
            <w:r w:rsidRPr="00BC3C0E">
              <w:rPr>
                <w:rFonts w:ascii="Verdana" w:hAnsi="Verdana"/>
                <w:sz w:val="18"/>
                <w:szCs w:val="18"/>
              </w:rPr>
              <w:t>收集数据、分析数据和应用数据（采取行动）</w:t>
            </w:r>
          </w:p>
        </w:tc>
      </w:tr>
      <w:tr w:rsidR="00FE3626" w:rsidTr="00BC3C0E">
        <w:trPr>
          <w:trHeight w:val="1151"/>
          <w:tblCellSpacing w:w="0" w:type="dxa"/>
        </w:trPr>
        <w:tc>
          <w:tcPr>
            <w:tcW w:w="0" w:type="auto"/>
            <w:tcBorders>
              <w:top w:val="outset" w:sz="6" w:space="0" w:color="14A5BD"/>
              <w:left w:val="outset" w:sz="6" w:space="0" w:color="14A5BD"/>
              <w:bottom w:val="outset" w:sz="6" w:space="0" w:color="14A5BD"/>
              <w:right w:val="outset" w:sz="6" w:space="0" w:color="14A5BD"/>
            </w:tcBorders>
            <w:vAlign w:val="center"/>
            <w:hideMark/>
          </w:tcPr>
          <w:p w:rsidR="00FE3626" w:rsidRDefault="00FE3626">
            <w:pPr>
              <w:jc w:val="center"/>
              <w:rPr>
                <w:rFonts w:ascii="Verdana" w:eastAsia="宋体" w:hAnsi="Verdana" w:cs="宋体"/>
                <w:sz w:val="18"/>
                <w:szCs w:val="18"/>
              </w:rPr>
            </w:pPr>
            <w:r>
              <w:rPr>
                <w:rStyle w:val="a8"/>
                <w:rFonts w:ascii="Verdana" w:hAnsi="Verdana"/>
                <w:sz w:val="18"/>
                <w:szCs w:val="18"/>
              </w:rPr>
              <w:t>第</w:t>
            </w:r>
            <w:r>
              <w:rPr>
                <w:rStyle w:val="a8"/>
                <w:rFonts w:ascii="Verdana" w:hAnsi="Verdana"/>
                <w:sz w:val="18"/>
                <w:szCs w:val="18"/>
              </w:rPr>
              <w:t>7</w:t>
            </w:r>
            <w:r>
              <w:rPr>
                <w:rStyle w:val="a8"/>
                <w:rFonts w:ascii="Verdana" w:hAnsi="Verdana"/>
                <w:sz w:val="18"/>
                <w:szCs w:val="18"/>
              </w:rPr>
              <w:t>计</w:t>
            </w:r>
            <w:r>
              <w:rPr>
                <w:rStyle w:val="a8"/>
                <w:rFonts w:ascii="Verdana" w:hAnsi="Verdana"/>
                <w:sz w:val="18"/>
                <w:szCs w:val="18"/>
              </w:rPr>
              <w:t xml:space="preserve"> </w:t>
            </w:r>
            <w:r>
              <w:rPr>
                <w:rStyle w:val="a8"/>
                <w:rFonts w:ascii="Verdana" w:hAnsi="Verdana"/>
                <w:sz w:val="18"/>
                <w:szCs w:val="18"/>
              </w:rPr>
              <w:t>言之有物</w:t>
            </w:r>
            <w:r>
              <w:rPr>
                <w:rStyle w:val="a8"/>
                <w:rFonts w:ascii="Verdana" w:hAnsi="Verdana"/>
                <w:sz w:val="18"/>
                <w:szCs w:val="18"/>
              </w:rPr>
              <w:t>——</w:t>
            </w:r>
            <w:r>
              <w:rPr>
                <w:rStyle w:val="a8"/>
                <w:rFonts w:ascii="Verdana" w:hAnsi="Verdana"/>
                <w:sz w:val="18"/>
                <w:szCs w:val="18"/>
              </w:rPr>
              <w:t>项目报告到底应该报告些什么？</w:t>
            </w:r>
          </w:p>
        </w:tc>
        <w:tc>
          <w:tcPr>
            <w:tcW w:w="0" w:type="auto"/>
            <w:tcBorders>
              <w:top w:val="outset" w:sz="6" w:space="0" w:color="14A5BD"/>
              <w:left w:val="outset" w:sz="6" w:space="0" w:color="14A5BD"/>
              <w:bottom w:val="outset" w:sz="6" w:space="0" w:color="14A5BD"/>
              <w:right w:val="outset" w:sz="6" w:space="0" w:color="14A5BD"/>
            </w:tcBorders>
            <w:vAlign w:val="center"/>
            <w:hideMark/>
          </w:tcPr>
          <w:p w:rsidR="00FE3626" w:rsidRPr="00BC3C0E" w:rsidRDefault="00FE3626">
            <w:pPr>
              <w:rPr>
                <w:rFonts w:ascii="Verdana" w:hAnsi="Verdana"/>
                <w:sz w:val="18"/>
                <w:szCs w:val="18"/>
              </w:rPr>
            </w:pPr>
            <w:r w:rsidRPr="00BC3C0E">
              <w:rPr>
                <w:rFonts w:ascii="Verdana" w:hAnsi="Verdana"/>
                <w:sz w:val="18"/>
                <w:szCs w:val="18"/>
              </w:rPr>
              <w:t>“</w:t>
            </w:r>
            <w:r w:rsidRPr="00BC3C0E">
              <w:rPr>
                <w:rFonts w:ascii="Verdana" w:hAnsi="Verdana"/>
                <w:sz w:val="18"/>
                <w:szCs w:val="18"/>
              </w:rPr>
              <w:t>可视性</w:t>
            </w:r>
            <w:r w:rsidRPr="00BC3C0E">
              <w:rPr>
                <w:rFonts w:ascii="Verdana" w:hAnsi="Verdana"/>
                <w:sz w:val="18"/>
                <w:szCs w:val="18"/>
              </w:rPr>
              <w:t>”</w:t>
            </w:r>
            <w:r w:rsidRPr="00BC3C0E">
              <w:rPr>
                <w:rFonts w:ascii="Verdana" w:hAnsi="Verdana"/>
                <w:sz w:val="18"/>
                <w:szCs w:val="18"/>
              </w:rPr>
              <w:t>是撰写项目报告的唯一目的</w:t>
            </w:r>
          </w:p>
          <w:p w:rsidR="00FE3626" w:rsidRPr="00BC3C0E" w:rsidRDefault="00FE3626">
            <w:pPr>
              <w:rPr>
                <w:rFonts w:ascii="Verdana" w:hAnsi="Verdana"/>
                <w:sz w:val="18"/>
                <w:szCs w:val="18"/>
              </w:rPr>
            </w:pPr>
            <w:r w:rsidRPr="00BC3C0E">
              <w:rPr>
                <w:rFonts w:ascii="Verdana" w:hAnsi="Verdana"/>
                <w:sz w:val="18"/>
                <w:szCs w:val="18"/>
              </w:rPr>
              <w:t>“So what”</w:t>
            </w:r>
            <w:r w:rsidRPr="00BC3C0E">
              <w:rPr>
                <w:rFonts w:ascii="Verdana" w:hAnsi="Verdana"/>
                <w:sz w:val="18"/>
                <w:szCs w:val="18"/>
              </w:rPr>
              <w:t>是报告的最关键内容</w:t>
            </w:r>
          </w:p>
          <w:p w:rsidR="00FE3626" w:rsidRPr="00BC3C0E" w:rsidRDefault="00FE3626">
            <w:pPr>
              <w:rPr>
                <w:rFonts w:ascii="Verdana" w:hAnsi="Verdana"/>
                <w:sz w:val="18"/>
                <w:szCs w:val="18"/>
              </w:rPr>
            </w:pPr>
            <w:r w:rsidRPr="00BC3C0E">
              <w:rPr>
                <w:rFonts w:ascii="Verdana" w:hAnsi="Verdana"/>
                <w:sz w:val="18"/>
                <w:szCs w:val="18"/>
              </w:rPr>
              <w:t>“</w:t>
            </w:r>
            <w:r w:rsidRPr="00BC3C0E">
              <w:rPr>
                <w:rFonts w:ascii="Verdana" w:hAnsi="Verdana"/>
                <w:sz w:val="18"/>
                <w:szCs w:val="18"/>
              </w:rPr>
              <w:t>好</w:t>
            </w:r>
            <w:r w:rsidRPr="00BC3C0E">
              <w:rPr>
                <w:rFonts w:ascii="Verdana" w:hAnsi="Verdana"/>
                <w:sz w:val="18"/>
                <w:szCs w:val="18"/>
              </w:rPr>
              <w:t>”</w:t>
            </w:r>
            <w:r w:rsidRPr="00BC3C0E">
              <w:rPr>
                <w:rFonts w:ascii="Verdana" w:hAnsi="Verdana"/>
                <w:sz w:val="18"/>
                <w:szCs w:val="18"/>
              </w:rPr>
              <w:t>的报告所应具备的要素</w:t>
            </w:r>
            <w:r w:rsidRPr="00BC3C0E">
              <w:rPr>
                <w:rFonts w:ascii="Verdana" w:hAnsi="Verdana"/>
                <w:sz w:val="18"/>
                <w:szCs w:val="18"/>
              </w:rPr>
              <w:t>——</w:t>
            </w:r>
            <w:r w:rsidRPr="00BC3C0E">
              <w:rPr>
                <w:rFonts w:ascii="Verdana" w:hAnsi="Verdana"/>
                <w:sz w:val="18"/>
                <w:szCs w:val="18"/>
              </w:rPr>
              <w:t>项目里程碑报告实例展示</w:t>
            </w:r>
          </w:p>
        </w:tc>
      </w:tr>
      <w:tr w:rsidR="00FE3626" w:rsidTr="00BC3C0E">
        <w:trPr>
          <w:trHeight w:val="786"/>
          <w:tblCellSpacing w:w="0" w:type="dxa"/>
        </w:trPr>
        <w:tc>
          <w:tcPr>
            <w:tcW w:w="0" w:type="auto"/>
            <w:tcBorders>
              <w:top w:val="outset" w:sz="6" w:space="0" w:color="14A5BD"/>
              <w:left w:val="outset" w:sz="6" w:space="0" w:color="14A5BD"/>
              <w:bottom w:val="outset" w:sz="6" w:space="0" w:color="14A5BD"/>
              <w:right w:val="outset" w:sz="6" w:space="0" w:color="14A5BD"/>
            </w:tcBorders>
            <w:vAlign w:val="center"/>
            <w:hideMark/>
          </w:tcPr>
          <w:p w:rsidR="00FE3626" w:rsidRDefault="00FE3626">
            <w:pPr>
              <w:jc w:val="center"/>
              <w:rPr>
                <w:rFonts w:ascii="Verdana" w:eastAsia="宋体" w:hAnsi="Verdana" w:cs="宋体"/>
                <w:sz w:val="18"/>
                <w:szCs w:val="18"/>
              </w:rPr>
            </w:pPr>
            <w:r>
              <w:rPr>
                <w:rStyle w:val="a8"/>
                <w:rFonts w:ascii="Verdana" w:hAnsi="Verdana"/>
                <w:sz w:val="18"/>
                <w:szCs w:val="18"/>
              </w:rPr>
              <w:t>第</w:t>
            </w:r>
            <w:r>
              <w:rPr>
                <w:rStyle w:val="a8"/>
                <w:rFonts w:ascii="Verdana" w:hAnsi="Verdana"/>
                <w:sz w:val="18"/>
                <w:szCs w:val="18"/>
              </w:rPr>
              <w:t>8</w:t>
            </w:r>
            <w:r>
              <w:rPr>
                <w:rStyle w:val="a8"/>
                <w:rFonts w:ascii="Verdana" w:hAnsi="Verdana"/>
                <w:sz w:val="18"/>
                <w:szCs w:val="18"/>
              </w:rPr>
              <w:t>计</w:t>
            </w:r>
            <w:r>
              <w:rPr>
                <w:rStyle w:val="a8"/>
                <w:rFonts w:ascii="Verdana" w:hAnsi="Verdana"/>
                <w:sz w:val="18"/>
                <w:szCs w:val="18"/>
              </w:rPr>
              <w:t xml:space="preserve"> </w:t>
            </w:r>
            <w:r>
              <w:rPr>
                <w:rStyle w:val="a8"/>
                <w:rFonts w:ascii="Verdana" w:hAnsi="Verdana"/>
                <w:sz w:val="18"/>
                <w:szCs w:val="18"/>
              </w:rPr>
              <w:t>具体而微</w:t>
            </w:r>
            <w:r>
              <w:rPr>
                <w:rStyle w:val="a8"/>
                <w:rFonts w:ascii="Verdana" w:hAnsi="Verdana"/>
                <w:sz w:val="18"/>
                <w:szCs w:val="18"/>
              </w:rPr>
              <w:t>——</w:t>
            </w:r>
            <w:r>
              <w:rPr>
                <w:rStyle w:val="a8"/>
                <w:rFonts w:ascii="Verdana" w:hAnsi="Verdana"/>
                <w:sz w:val="18"/>
                <w:szCs w:val="18"/>
              </w:rPr>
              <w:t>关于风险的描述、风险的持续跟踪和监控</w:t>
            </w:r>
          </w:p>
        </w:tc>
        <w:tc>
          <w:tcPr>
            <w:tcW w:w="0" w:type="auto"/>
            <w:tcBorders>
              <w:top w:val="outset" w:sz="6" w:space="0" w:color="14A5BD"/>
              <w:left w:val="outset" w:sz="6" w:space="0" w:color="14A5BD"/>
              <w:bottom w:val="outset" w:sz="6" w:space="0" w:color="14A5BD"/>
              <w:right w:val="outset" w:sz="6" w:space="0" w:color="14A5BD"/>
            </w:tcBorders>
            <w:vAlign w:val="center"/>
            <w:hideMark/>
          </w:tcPr>
          <w:p w:rsidR="00FE3626" w:rsidRPr="00BC3C0E" w:rsidRDefault="00FE3626">
            <w:pPr>
              <w:rPr>
                <w:rFonts w:ascii="Verdana" w:hAnsi="Verdana"/>
                <w:sz w:val="18"/>
                <w:szCs w:val="18"/>
              </w:rPr>
            </w:pPr>
            <w:r w:rsidRPr="00BC3C0E">
              <w:rPr>
                <w:rFonts w:ascii="Verdana" w:hAnsi="Verdana"/>
                <w:sz w:val="18"/>
                <w:szCs w:val="18"/>
              </w:rPr>
              <w:t>案例分析：描述风险的必备要素</w:t>
            </w:r>
          </w:p>
          <w:p w:rsidR="00FE3626" w:rsidRPr="00BC3C0E" w:rsidRDefault="00FE3626">
            <w:pPr>
              <w:rPr>
                <w:rFonts w:ascii="Verdana" w:hAnsi="Verdana"/>
                <w:sz w:val="18"/>
                <w:szCs w:val="18"/>
              </w:rPr>
            </w:pPr>
            <w:r w:rsidRPr="00BC3C0E">
              <w:rPr>
                <w:rFonts w:ascii="Verdana" w:hAnsi="Verdana"/>
                <w:sz w:val="18"/>
                <w:szCs w:val="18"/>
              </w:rPr>
              <w:t>案例分析：如何通过风险的持续监控而将风险管理有机的融入项目管理中</w:t>
            </w:r>
          </w:p>
        </w:tc>
      </w:tr>
      <w:tr w:rsidR="00FE3626" w:rsidTr="00BC3C0E">
        <w:trPr>
          <w:trHeight w:val="798"/>
          <w:tblCellSpacing w:w="0" w:type="dxa"/>
        </w:trPr>
        <w:tc>
          <w:tcPr>
            <w:tcW w:w="0" w:type="auto"/>
            <w:tcBorders>
              <w:top w:val="outset" w:sz="6" w:space="0" w:color="14A5BD"/>
              <w:left w:val="outset" w:sz="6" w:space="0" w:color="14A5BD"/>
              <w:bottom w:val="outset" w:sz="6" w:space="0" w:color="14A5BD"/>
              <w:right w:val="outset" w:sz="6" w:space="0" w:color="14A5BD"/>
            </w:tcBorders>
            <w:vAlign w:val="center"/>
            <w:hideMark/>
          </w:tcPr>
          <w:p w:rsidR="00FE3626" w:rsidRDefault="00FE3626">
            <w:pPr>
              <w:jc w:val="center"/>
              <w:rPr>
                <w:rFonts w:ascii="Verdana" w:eastAsia="宋体" w:hAnsi="Verdana" w:cs="宋体"/>
                <w:sz w:val="18"/>
                <w:szCs w:val="18"/>
              </w:rPr>
            </w:pPr>
            <w:r>
              <w:rPr>
                <w:rStyle w:val="a8"/>
                <w:rFonts w:ascii="Verdana" w:hAnsi="Verdana"/>
                <w:sz w:val="18"/>
                <w:szCs w:val="18"/>
              </w:rPr>
              <w:t>第</w:t>
            </w:r>
            <w:r>
              <w:rPr>
                <w:rStyle w:val="a8"/>
                <w:rFonts w:ascii="Verdana" w:hAnsi="Verdana"/>
                <w:sz w:val="18"/>
                <w:szCs w:val="18"/>
              </w:rPr>
              <w:t>9</w:t>
            </w:r>
            <w:r>
              <w:rPr>
                <w:rStyle w:val="a8"/>
                <w:rFonts w:ascii="Verdana" w:hAnsi="Verdana"/>
                <w:sz w:val="18"/>
                <w:szCs w:val="18"/>
              </w:rPr>
              <w:t>计</w:t>
            </w:r>
            <w:r>
              <w:rPr>
                <w:rStyle w:val="a8"/>
                <w:rFonts w:ascii="Verdana" w:hAnsi="Verdana"/>
                <w:sz w:val="18"/>
                <w:szCs w:val="18"/>
              </w:rPr>
              <w:t xml:space="preserve"> </w:t>
            </w:r>
            <w:r>
              <w:rPr>
                <w:rStyle w:val="a8"/>
                <w:rFonts w:ascii="Verdana" w:hAnsi="Verdana"/>
                <w:sz w:val="18"/>
                <w:szCs w:val="18"/>
              </w:rPr>
              <w:t>人尽其才</w:t>
            </w:r>
            <w:r>
              <w:rPr>
                <w:rStyle w:val="a8"/>
                <w:rFonts w:ascii="Verdana" w:hAnsi="Verdana"/>
                <w:sz w:val="18"/>
                <w:szCs w:val="18"/>
              </w:rPr>
              <w:t>——</w:t>
            </w:r>
            <w:r>
              <w:rPr>
                <w:rStyle w:val="a8"/>
                <w:rFonts w:ascii="Verdana" w:hAnsi="Verdana"/>
                <w:sz w:val="18"/>
                <w:szCs w:val="18"/>
              </w:rPr>
              <w:t>项目群和项目组合管理的第一要务</w:t>
            </w:r>
          </w:p>
        </w:tc>
        <w:tc>
          <w:tcPr>
            <w:tcW w:w="0" w:type="auto"/>
            <w:tcBorders>
              <w:top w:val="outset" w:sz="6" w:space="0" w:color="14A5BD"/>
              <w:left w:val="outset" w:sz="6" w:space="0" w:color="14A5BD"/>
              <w:bottom w:val="outset" w:sz="6" w:space="0" w:color="14A5BD"/>
              <w:right w:val="outset" w:sz="6" w:space="0" w:color="14A5BD"/>
            </w:tcBorders>
            <w:vAlign w:val="center"/>
            <w:hideMark/>
          </w:tcPr>
          <w:p w:rsidR="00FE3626" w:rsidRPr="00BC3C0E" w:rsidRDefault="00FE3626">
            <w:pPr>
              <w:rPr>
                <w:rFonts w:ascii="Verdana" w:hAnsi="Verdana"/>
                <w:sz w:val="18"/>
                <w:szCs w:val="18"/>
              </w:rPr>
            </w:pPr>
            <w:r w:rsidRPr="00BC3C0E">
              <w:rPr>
                <w:rFonts w:ascii="Verdana" w:hAnsi="Verdana"/>
                <w:sz w:val="18"/>
                <w:szCs w:val="18"/>
              </w:rPr>
              <w:t>管道管理与人力资源协调与管理</w:t>
            </w:r>
          </w:p>
          <w:p w:rsidR="00FE3626" w:rsidRPr="00BC3C0E" w:rsidRDefault="00FE3626">
            <w:pPr>
              <w:rPr>
                <w:rFonts w:ascii="Verdana" w:hAnsi="Verdana"/>
                <w:sz w:val="18"/>
                <w:szCs w:val="18"/>
              </w:rPr>
            </w:pPr>
            <w:r w:rsidRPr="00BC3C0E">
              <w:rPr>
                <w:rFonts w:ascii="Verdana" w:hAnsi="Verdana"/>
                <w:sz w:val="18"/>
                <w:szCs w:val="18"/>
              </w:rPr>
              <w:t>人员能力管理和组织能力架构设计</w:t>
            </w:r>
          </w:p>
        </w:tc>
      </w:tr>
      <w:tr w:rsidR="00FE3626" w:rsidTr="00BC3C0E">
        <w:trPr>
          <w:trHeight w:val="1079"/>
          <w:tblCellSpacing w:w="0" w:type="dxa"/>
        </w:trPr>
        <w:tc>
          <w:tcPr>
            <w:tcW w:w="0" w:type="auto"/>
            <w:tcBorders>
              <w:top w:val="outset" w:sz="6" w:space="0" w:color="14A5BD"/>
              <w:left w:val="outset" w:sz="6" w:space="0" w:color="14A5BD"/>
              <w:bottom w:val="outset" w:sz="6" w:space="0" w:color="14A5BD"/>
              <w:right w:val="outset" w:sz="6" w:space="0" w:color="14A5BD"/>
            </w:tcBorders>
            <w:vAlign w:val="center"/>
            <w:hideMark/>
          </w:tcPr>
          <w:p w:rsidR="00FE3626" w:rsidRDefault="00FE3626">
            <w:pPr>
              <w:jc w:val="center"/>
              <w:rPr>
                <w:rFonts w:ascii="Verdana" w:eastAsia="宋体" w:hAnsi="Verdana" w:cs="宋体"/>
                <w:sz w:val="18"/>
                <w:szCs w:val="18"/>
              </w:rPr>
            </w:pPr>
            <w:r>
              <w:rPr>
                <w:rStyle w:val="a8"/>
                <w:rFonts w:ascii="Verdana" w:hAnsi="Verdana"/>
                <w:sz w:val="18"/>
                <w:szCs w:val="18"/>
              </w:rPr>
              <w:t>第</w:t>
            </w:r>
            <w:r>
              <w:rPr>
                <w:rStyle w:val="a8"/>
                <w:rFonts w:ascii="Verdana" w:hAnsi="Verdana"/>
                <w:sz w:val="18"/>
                <w:szCs w:val="18"/>
              </w:rPr>
              <w:t>10</w:t>
            </w:r>
            <w:r>
              <w:rPr>
                <w:rStyle w:val="a8"/>
                <w:rFonts w:ascii="Verdana" w:hAnsi="Verdana"/>
                <w:sz w:val="18"/>
                <w:szCs w:val="18"/>
              </w:rPr>
              <w:t>计</w:t>
            </w:r>
            <w:r>
              <w:rPr>
                <w:rStyle w:val="a8"/>
                <w:rFonts w:ascii="Verdana" w:hAnsi="Verdana"/>
                <w:sz w:val="18"/>
                <w:szCs w:val="18"/>
              </w:rPr>
              <w:t xml:space="preserve"> </w:t>
            </w:r>
            <w:r>
              <w:rPr>
                <w:rStyle w:val="a8"/>
                <w:rFonts w:ascii="Verdana" w:hAnsi="Verdana"/>
                <w:sz w:val="18"/>
                <w:szCs w:val="18"/>
              </w:rPr>
              <w:t>百川归海</w:t>
            </w:r>
            <w:r>
              <w:rPr>
                <w:rStyle w:val="a8"/>
                <w:rFonts w:ascii="Verdana" w:hAnsi="Verdana"/>
                <w:sz w:val="18"/>
                <w:szCs w:val="18"/>
              </w:rPr>
              <w:t>——PM</w:t>
            </w:r>
            <w:r>
              <w:rPr>
                <w:rStyle w:val="a8"/>
                <w:rFonts w:ascii="Verdana" w:hAnsi="Verdana"/>
                <w:sz w:val="18"/>
                <w:szCs w:val="18"/>
              </w:rPr>
              <w:t>应具备的系统性思维</w:t>
            </w:r>
          </w:p>
        </w:tc>
        <w:tc>
          <w:tcPr>
            <w:tcW w:w="0" w:type="auto"/>
            <w:tcBorders>
              <w:top w:val="outset" w:sz="6" w:space="0" w:color="14A5BD"/>
              <w:left w:val="outset" w:sz="6" w:space="0" w:color="14A5BD"/>
              <w:bottom w:val="outset" w:sz="6" w:space="0" w:color="14A5BD"/>
              <w:right w:val="outset" w:sz="6" w:space="0" w:color="14A5BD"/>
            </w:tcBorders>
            <w:vAlign w:val="center"/>
            <w:hideMark/>
          </w:tcPr>
          <w:p w:rsidR="00FE3626" w:rsidRPr="00BC3C0E" w:rsidRDefault="00FE3626">
            <w:pPr>
              <w:rPr>
                <w:rFonts w:ascii="Verdana" w:hAnsi="Verdana"/>
                <w:sz w:val="18"/>
                <w:szCs w:val="18"/>
              </w:rPr>
            </w:pPr>
            <w:r w:rsidRPr="00BC3C0E">
              <w:rPr>
                <w:rFonts w:ascii="Verdana" w:hAnsi="Verdana"/>
                <w:sz w:val="18"/>
                <w:szCs w:val="18"/>
              </w:rPr>
              <w:t>归档技术资料</w:t>
            </w:r>
          </w:p>
          <w:p w:rsidR="00FE3626" w:rsidRPr="00BC3C0E" w:rsidRDefault="00FE3626">
            <w:pPr>
              <w:rPr>
                <w:rFonts w:ascii="Verdana" w:hAnsi="Verdana"/>
                <w:sz w:val="18"/>
                <w:szCs w:val="18"/>
              </w:rPr>
            </w:pPr>
            <w:r w:rsidRPr="00BC3C0E">
              <w:rPr>
                <w:rFonts w:ascii="Verdana" w:hAnsi="Verdana"/>
                <w:sz w:val="18"/>
                <w:szCs w:val="18"/>
              </w:rPr>
              <w:t>归档过程资产</w:t>
            </w:r>
          </w:p>
          <w:p w:rsidR="00FE3626" w:rsidRPr="00BC3C0E" w:rsidRDefault="00FE3626">
            <w:pPr>
              <w:rPr>
                <w:rFonts w:ascii="Verdana" w:hAnsi="Verdana"/>
                <w:sz w:val="18"/>
                <w:szCs w:val="18"/>
              </w:rPr>
            </w:pPr>
            <w:r w:rsidRPr="00BC3C0E">
              <w:rPr>
                <w:rFonts w:ascii="Verdana" w:hAnsi="Verdana"/>
                <w:sz w:val="18"/>
                <w:szCs w:val="18"/>
              </w:rPr>
              <w:t>归档过程资产时需要建立的思维</w:t>
            </w:r>
            <w:r w:rsidRPr="00BC3C0E">
              <w:rPr>
                <w:rFonts w:ascii="Verdana" w:hAnsi="Verdana"/>
                <w:sz w:val="18"/>
                <w:szCs w:val="18"/>
              </w:rPr>
              <w:t>——</w:t>
            </w:r>
            <w:r w:rsidRPr="00BC3C0E">
              <w:rPr>
                <w:rFonts w:ascii="Verdana" w:hAnsi="Verdana"/>
                <w:sz w:val="18"/>
                <w:szCs w:val="18"/>
              </w:rPr>
              <w:t>模式识别</w:t>
            </w:r>
          </w:p>
        </w:tc>
      </w:tr>
      <w:tr w:rsidR="00FE3626" w:rsidTr="00BC3C0E">
        <w:trPr>
          <w:trHeight w:val="1713"/>
          <w:tblCellSpacing w:w="0" w:type="dxa"/>
        </w:trPr>
        <w:tc>
          <w:tcPr>
            <w:tcW w:w="0" w:type="auto"/>
            <w:tcBorders>
              <w:top w:val="outset" w:sz="6" w:space="0" w:color="14A5BD"/>
              <w:left w:val="outset" w:sz="6" w:space="0" w:color="14A5BD"/>
              <w:bottom w:val="outset" w:sz="6" w:space="0" w:color="14A5BD"/>
              <w:right w:val="outset" w:sz="6" w:space="0" w:color="14A5BD"/>
            </w:tcBorders>
            <w:vAlign w:val="center"/>
            <w:hideMark/>
          </w:tcPr>
          <w:p w:rsidR="00FE3626" w:rsidRDefault="00FE3626">
            <w:pPr>
              <w:jc w:val="center"/>
              <w:rPr>
                <w:rFonts w:ascii="Verdana" w:eastAsia="宋体" w:hAnsi="Verdana" w:cs="宋体"/>
                <w:sz w:val="18"/>
                <w:szCs w:val="18"/>
              </w:rPr>
            </w:pPr>
            <w:r>
              <w:rPr>
                <w:rStyle w:val="a8"/>
                <w:rFonts w:ascii="Verdana" w:hAnsi="Verdana"/>
                <w:sz w:val="18"/>
                <w:szCs w:val="18"/>
              </w:rPr>
              <w:t>培训总结</w:t>
            </w:r>
            <w:r>
              <w:rPr>
                <w:rStyle w:val="a8"/>
                <w:rFonts w:ascii="Verdana" w:hAnsi="Verdana"/>
                <w:sz w:val="18"/>
                <w:szCs w:val="18"/>
              </w:rPr>
              <w:t>——</w:t>
            </w:r>
            <w:r>
              <w:rPr>
                <w:rStyle w:val="a8"/>
                <w:rFonts w:ascii="Verdana" w:hAnsi="Verdana"/>
                <w:sz w:val="18"/>
                <w:szCs w:val="18"/>
              </w:rPr>
              <w:t>软件项目管理的真理与谎言</w:t>
            </w:r>
          </w:p>
        </w:tc>
        <w:tc>
          <w:tcPr>
            <w:tcW w:w="0" w:type="auto"/>
            <w:tcBorders>
              <w:top w:val="outset" w:sz="6" w:space="0" w:color="14A5BD"/>
              <w:left w:val="outset" w:sz="6" w:space="0" w:color="14A5BD"/>
              <w:bottom w:val="outset" w:sz="6" w:space="0" w:color="14A5BD"/>
              <w:right w:val="outset" w:sz="6" w:space="0" w:color="14A5BD"/>
            </w:tcBorders>
            <w:vAlign w:val="center"/>
            <w:hideMark/>
          </w:tcPr>
          <w:p w:rsidR="00FE3626" w:rsidRPr="00BC3C0E" w:rsidRDefault="00FE3626">
            <w:pPr>
              <w:rPr>
                <w:rFonts w:ascii="Verdana" w:hAnsi="Verdana"/>
                <w:sz w:val="18"/>
                <w:szCs w:val="18"/>
              </w:rPr>
            </w:pPr>
            <w:r w:rsidRPr="00BC3C0E">
              <w:rPr>
                <w:rFonts w:ascii="Verdana" w:hAnsi="Verdana"/>
                <w:sz w:val="18"/>
                <w:szCs w:val="18"/>
              </w:rPr>
              <w:t>本次实战演练活动讲评</w:t>
            </w:r>
          </w:p>
          <w:p w:rsidR="00FE3626" w:rsidRPr="00BC3C0E" w:rsidRDefault="00FE3626">
            <w:pPr>
              <w:rPr>
                <w:rFonts w:ascii="Verdana" w:hAnsi="Verdana"/>
                <w:sz w:val="18"/>
                <w:szCs w:val="18"/>
              </w:rPr>
            </w:pPr>
            <w:r w:rsidRPr="00BC3C0E">
              <w:rPr>
                <w:rFonts w:ascii="Verdana" w:hAnsi="Verdana"/>
                <w:sz w:val="18"/>
                <w:szCs w:val="18"/>
              </w:rPr>
              <w:t>总结与串讲：：软件项目管理的生命周期</w:t>
            </w:r>
            <w:r w:rsidRPr="00BC3C0E">
              <w:rPr>
                <w:rFonts w:ascii="Verdana" w:hAnsi="Verdana"/>
                <w:sz w:val="18"/>
                <w:szCs w:val="18"/>
              </w:rPr>
              <w:t>——</w:t>
            </w:r>
            <w:r w:rsidRPr="00BC3C0E">
              <w:rPr>
                <w:rFonts w:ascii="Verdana" w:hAnsi="Verdana"/>
                <w:sz w:val="18"/>
                <w:szCs w:val="18"/>
              </w:rPr>
              <w:t>项目管理从相关方期望值的识别到相关方期望值的验证</w:t>
            </w:r>
            <w:r w:rsidRPr="00BC3C0E">
              <w:rPr>
                <w:rFonts w:ascii="Verdana" w:hAnsi="Verdana"/>
                <w:sz w:val="18"/>
                <w:szCs w:val="18"/>
              </w:rPr>
              <w:t>&amp;</w:t>
            </w:r>
            <w:r w:rsidRPr="00BC3C0E">
              <w:rPr>
                <w:rFonts w:ascii="Verdana" w:hAnsi="Verdana"/>
                <w:sz w:val="18"/>
                <w:szCs w:val="18"/>
              </w:rPr>
              <w:t>确认</w:t>
            </w:r>
          </w:p>
          <w:p w:rsidR="00FE3626" w:rsidRPr="00BC3C0E" w:rsidRDefault="00FE3626">
            <w:pPr>
              <w:rPr>
                <w:rFonts w:ascii="Verdana" w:hAnsi="Verdana"/>
                <w:sz w:val="18"/>
                <w:szCs w:val="18"/>
              </w:rPr>
            </w:pPr>
            <w:r w:rsidRPr="00BC3C0E">
              <w:rPr>
                <w:rFonts w:ascii="Verdana" w:hAnsi="Verdana"/>
                <w:sz w:val="18"/>
                <w:szCs w:val="18"/>
              </w:rPr>
              <w:t>软件项目管理的</w:t>
            </w:r>
            <w:r w:rsidRPr="00BC3C0E">
              <w:rPr>
                <w:rFonts w:ascii="Verdana" w:hAnsi="Verdana"/>
                <w:sz w:val="18"/>
                <w:szCs w:val="18"/>
              </w:rPr>
              <w:t>2</w:t>
            </w:r>
            <w:r w:rsidRPr="00BC3C0E">
              <w:rPr>
                <w:rFonts w:ascii="Verdana" w:hAnsi="Verdana"/>
                <w:sz w:val="18"/>
                <w:szCs w:val="18"/>
              </w:rPr>
              <w:t>项真理</w:t>
            </w:r>
          </w:p>
          <w:p w:rsidR="00FE3626" w:rsidRPr="00BC3C0E" w:rsidRDefault="00FE3626">
            <w:pPr>
              <w:rPr>
                <w:rFonts w:ascii="Verdana" w:hAnsi="Verdana"/>
                <w:sz w:val="18"/>
                <w:szCs w:val="18"/>
              </w:rPr>
            </w:pPr>
            <w:r w:rsidRPr="00BC3C0E">
              <w:rPr>
                <w:rFonts w:ascii="Verdana" w:hAnsi="Verdana"/>
                <w:sz w:val="18"/>
                <w:szCs w:val="18"/>
              </w:rPr>
              <w:t>软件项目管理的</w:t>
            </w:r>
            <w:r w:rsidRPr="00BC3C0E">
              <w:rPr>
                <w:rFonts w:ascii="Verdana" w:hAnsi="Verdana"/>
                <w:sz w:val="18"/>
                <w:szCs w:val="18"/>
              </w:rPr>
              <w:t>7</w:t>
            </w:r>
            <w:r w:rsidRPr="00BC3C0E">
              <w:rPr>
                <w:rFonts w:ascii="Verdana" w:hAnsi="Verdana"/>
                <w:sz w:val="18"/>
                <w:szCs w:val="18"/>
              </w:rPr>
              <w:t>个谎言</w:t>
            </w:r>
          </w:p>
        </w:tc>
      </w:tr>
    </w:tbl>
    <w:p w:rsidR="004E5EC8" w:rsidRPr="00FE3626" w:rsidRDefault="004E5EC8" w:rsidP="00BC3C0E">
      <w:pPr>
        <w:rPr>
          <w:szCs w:val="21"/>
        </w:rPr>
      </w:pPr>
    </w:p>
    <w:sectPr w:rsidR="004E5EC8" w:rsidRPr="00FE3626" w:rsidSect="00DC7A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086" w:rsidRDefault="00E84086" w:rsidP="006660B5">
      <w:r>
        <w:separator/>
      </w:r>
    </w:p>
  </w:endnote>
  <w:endnote w:type="continuationSeparator" w:id="1">
    <w:p w:rsidR="00E84086" w:rsidRDefault="00E84086" w:rsidP="006660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086" w:rsidRDefault="00E84086" w:rsidP="006660B5">
      <w:r>
        <w:separator/>
      </w:r>
    </w:p>
  </w:footnote>
  <w:footnote w:type="continuationSeparator" w:id="1">
    <w:p w:rsidR="00E84086" w:rsidRDefault="00E84086" w:rsidP="006660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32710"/>
    <w:multiLevelType w:val="hybridMultilevel"/>
    <w:tmpl w:val="024A162E"/>
    <w:lvl w:ilvl="0" w:tplc="298A05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60B5"/>
    <w:rsid w:val="00026813"/>
    <w:rsid w:val="00071A5B"/>
    <w:rsid w:val="000D7CF3"/>
    <w:rsid w:val="001C1BDC"/>
    <w:rsid w:val="00404FE3"/>
    <w:rsid w:val="004C4168"/>
    <w:rsid w:val="004E42A4"/>
    <w:rsid w:val="004E5EC8"/>
    <w:rsid w:val="004E7E65"/>
    <w:rsid w:val="00544C2E"/>
    <w:rsid w:val="005D5956"/>
    <w:rsid w:val="006660B5"/>
    <w:rsid w:val="006B6F9F"/>
    <w:rsid w:val="0088274B"/>
    <w:rsid w:val="008D6269"/>
    <w:rsid w:val="00950BBF"/>
    <w:rsid w:val="00A3707B"/>
    <w:rsid w:val="00BC3C0E"/>
    <w:rsid w:val="00CD1902"/>
    <w:rsid w:val="00D32320"/>
    <w:rsid w:val="00DC2489"/>
    <w:rsid w:val="00DC7A78"/>
    <w:rsid w:val="00E84086"/>
    <w:rsid w:val="00FB7814"/>
    <w:rsid w:val="00FE36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A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660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660B5"/>
    <w:rPr>
      <w:sz w:val="18"/>
      <w:szCs w:val="18"/>
    </w:rPr>
  </w:style>
  <w:style w:type="paragraph" w:styleId="a4">
    <w:name w:val="footer"/>
    <w:basedOn w:val="a"/>
    <w:link w:val="Char0"/>
    <w:uiPriority w:val="99"/>
    <w:semiHidden/>
    <w:unhideWhenUsed/>
    <w:rsid w:val="006660B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660B5"/>
    <w:rPr>
      <w:sz w:val="18"/>
      <w:szCs w:val="18"/>
    </w:rPr>
  </w:style>
  <w:style w:type="character" w:customStyle="1" w:styleId="pagecontentall2">
    <w:name w:val="page_content_all2"/>
    <w:basedOn w:val="a0"/>
    <w:rsid w:val="006660B5"/>
  </w:style>
  <w:style w:type="paragraph" w:styleId="a5">
    <w:name w:val="Normal (Web)"/>
    <w:basedOn w:val="a"/>
    <w:uiPriority w:val="99"/>
    <w:unhideWhenUsed/>
    <w:rsid w:val="006660B5"/>
    <w:pPr>
      <w:widowControl/>
      <w:spacing w:line="330" w:lineRule="atLeast"/>
      <w:jc w:val="left"/>
    </w:pPr>
    <w:rPr>
      <w:rFonts w:ascii="宋体" w:eastAsia="宋体" w:hAnsi="宋体" w:cs="宋体"/>
      <w:kern w:val="0"/>
      <w:sz w:val="24"/>
      <w:szCs w:val="24"/>
    </w:rPr>
  </w:style>
  <w:style w:type="character" w:customStyle="1" w:styleId="style1">
    <w:name w:val="style1"/>
    <w:basedOn w:val="a0"/>
    <w:rsid w:val="006660B5"/>
  </w:style>
  <w:style w:type="character" w:styleId="a6">
    <w:name w:val="Emphasis"/>
    <w:basedOn w:val="a0"/>
    <w:uiPriority w:val="20"/>
    <w:qFormat/>
    <w:rsid w:val="006B6F9F"/>
    <w:rPr>
      <w:i/>
      <w:iCs/>
    </w:rPr>
  </w:style>
  <w:style w:type="character" w:styleId="a7">
    <w:name w:val="Hyperlink"/>
    <w:basedOn w:val="a0"/>
    <w:uiPriority w:val="99"/>
    <w:unhideWhenUsed/>
    <w:rsid w:val="006B6F9F"/>
    <w:rPr>
      <w:strike w:val="0"/>
      <w:dstrike w:val="0"/>
      <w:color w:val="076AA7"/>
      <w:u w:val="none"/>
      <w:effect w:val="none"/>
    </w:rPr>
  </w:style>
  <w:style w:type="character" w:customStyle="1" w:styleId="apple-style-span">
    <w:name w:val="apple-style-span"/>
    <w:basedOn w:val="a0"/>
    <w:rsid w:val="006B6F9F"/>
  </w:style>
  <w:style w:type="character" w:styleId="a8">
    <w:name w:val="Strong"/>
    <w:basedOn w:val="a0"/>
    <w:uiPriority w:val="22"/>
    <w:qFormat/>
    <w:rsid w:val="00544C2E"/>
    <w:rPr>
      <w:b/>
      <w:bCs/>
    </w:rPr>
  </w:style>
  <w:style w:type="character" w:customStyle="1" w:styleId="style8">
    <w:name w:val="style8"/>
    <w:basedOn w:val="a0"/>
    <w:rsid w:val="00544C2E"/>
  </w:style>
  <w:style w:type="paragraph" w:customStyle="1" w:styleId="style81">
    <w:name w:val="style81"/>
    <w:basedOn w:val="a"/>
    <w:rsid w:val="00544C2E"/>
    <w:pPr>
      <w:widowControl/>
      <w:spacing w:line="330" w:lineRule="atLeast"/>
      <w:jc w:val="left"/>
    </w:pPr>
    <w:rPr>
      <w:rFonts w:ascii="宋体" w:eastAsia="宋体" w:hAnsi="宋体" w:cs="宋体"/>
      <w:kern w:val="0"/>
      <w:sz w:val="24"/>
      <w:szCs w:val="24"/>
    </w:rPr>
  </w:style>
  <w:style w:type="paragraph" w:styleId="a9">
    <w:name w:val="Balloon Text"/>
    <w:basedOn w:val="a"/>
    <w:link w:val="Char1"/>
    <w:uiPriority w:val="99"/>
    <w:semiHidden/>
    <w:unhideWhenUsed/>
    <w:rsid w:val="00FE3626"/>
    <w:rPr>
      <w:sz w:val="18"/>
      <w:szCs w:val="18"/>
    </w:rPr>
  </w:style>
  <w:style w:type="character" w:customStyle="1" w:styleId="Char1">
    <w:name w:val="批注框文本 Char"/>
    <w:basedOn w:val="a0"/>
    <w:link w:val="a9"/>
    <w:uiPriority w:val="99"/>
    <w:semiHidden/>
    <w:rsid w:val="00FE3626"/>
    <w:rPr>
      <w:sz w:val="18"/>
      <w:szCs w:val="18"/>
    </w:rPr>
  </w:style>
</w:styles>
</file>

<file path=word/webSettings.xml><?xml version="1.0" encoding="utf-8"?>
<w:webSettings xmlns:r="http://schemas.openxmlformats.org/officeDocument/2006/relationships" xmlns:w="http://schemas.openxmlformats.org/wordprocessingml/2006/main">
  <w:divs>
    <w:div w:id="123348883">
      <w:bodyDiv w:val="1"/>
      <w:marLeft w:val="0"/>
      <w:marRight w:val="0"/>
      <w:marTop w:val="0"/>
      <w:marBottom w:val="0"/>
      <w:divBdr>
        <w:top w:val="none" w:sz="0" w:space="0" w:color="auto"/>
        <w:left w:val="none" w:sz="0" w:space="0" w:color="auto"/>
        <w:bottom w:val="none" w:sz="0" w:space="0" w:color="auto"/>
        <w:right w:val="none" w:sz="0" w:space="0" w:color="auto"/>
      </w:divBdr>
      <w:divsChild>
        <w:div w:id="1555702389">
          <w:marLeft w:val="0"/>
          <w:marRight w:val="0"/>
          <w:marTop w:val="0"/>
          <w:marBottom w:val="0"/>
          <w:divBdr>
            <w:top w:val="none" w:sz="0" w:space="0" w:color="auto"/>
            <w:left w:val="none" w:sz="0" w:space="0" w:color="auto"/>
            <w:bottom w:val="none" w:sz="0" w:space="0" w:color="auto"/>
            <w:right w:val="none" w:sz="0" w:space="0" w:color="auto"/>
          </w:divBdr>
          <w:divsChild>
            <w:div w:id="948706705">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150220340">
      <w:bodyDiv w:val="1"/>
      <w:marLeft w:val="0"/>
      <w:marRight w:val="0"/>
      <w:marTop w:val="0"/>
      <w:marBottom w:val="0"/>
      <w:divBdr>
        <w:top w:val="none" w:sz="0" w:space="0" w:color="auto"/>
        <w:left w:val="none" w:sz="0" w:space="0" w:color="auto"/>
        <w:bottom w:val="none" w:sz="0" w:space="0" w:color="auto"/>
        <w:right w:val="none" w:sz="0" w:space="0" w:color="auto"/>
      </w:divBdr>
    </w:div>
    <w:div w:id="409041761">
      <w:bodyDiv w:val="1"/>
      <w:marLeft w:val="0"/>
      <w:marRight w:val="0"/>
      <w:marTop w:val="0"/>
      <w:marBottom w:val="0"/>
      <w:divBdr>
        <w:top w:val="none" w:sz="0" w:space="0" w:color="auto"/>
        <w:left w:val="none" w:sz="0" w:space="0" w:color="auto"/>
        <w:bottom w:val="none" w:sz="0" w:space="0" w:color="auto"/>
        <w:right w:val="none" w:sz="0" w:space="0" w:color="auto"/>
      </w:divBdr>
      <w:divsChild>
        <w:div w:id="999425719">
          <w:marLeft w:val="0"/>
          <w:marRight w:val="0"/>
          <w:marTop w:val="0"/>
          <w:marBottom w:val="0"/>
          <w:divBdr>
            <w:top w:val="none" w:sz="0" w:space="0" w:color="auto"/>
            <w:left w:val="none" w:sz="0" w:space="0" w:color="auto"/>
            <w:bottom w:val="none" w:sz="0" w:space="0" w:color="auto"/>
            <w:right w:val="none" w:sz="0" w:space="0" w:color="auto"/>
          </w:divBdr>
          <w:divsChild>
            <w:div w:id="1889292839">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594246708">
      <w:bodyDiv w:val="1"/>
      <w:marLeft w:val="0"/>
      <w:marRight w:val="0"/>
      <w:marTop w:val="0"/>
      <w:marBottom w:val="0"/>
      <w:divBdr>
        <w:top w:val="none" w:sz="0" w:space="0" w:color="auto"/>
        <w:left w:val="none" w:sz="0" w:space="0" w:color="auto"/>
        <w:bottom w:val="none" w:sz="0" w:space="0" w:color="auto"/>
        <w:right w:val="none" w:sz="0" w:space="0" w:color="auto"/>
      </w:divBdr>
      <w:divsChild>
        <w:div w:id="2021736553">
          <w:marLeft w:val="0"/>
          <w:marRight w:val="0"/>
          <w:marTop w:val="0"/>
          <w:marBottom w:val="0"/>
          <w:divBdr>
            <w:top w:val="none" w:sz="0" w:space="0" w:color="auto"/>
            <w:left w:val="none" w:sz="0" w:space="0" w:color="auto"/>
            <w:bottom w:val="none" w:sz="0" w:space="0" w:color="auto"/>
            <w:right w:val="none" w:sz="0" w:space="0" w:color="auto"/>
          </w:divBdr>
          <w:divsChild>
            <w:div w:id="402609087">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895512925">
      <w:bodyDiv w:val="1"/>
      <w:marLeft w:val="0"/>
      <w:marRight w:val="0"/>
      <w:marTop w:val="0"/>
      <w:marBottom w:val="0"/>
      <w:divBdr>
        <w:top w:val="none" w:sz="0" w:space="0" w:color="auto"/>
        <w:left w:val="none" w:sz="0" w:space="0" w:color="auto"/>
        <w:bottom w:val="none" w:sz="0" w:space="0" w:color="auto"/>
        <w:right w:val="none" w:sz="0" w:space="0" w:color="auto"/>
      </w:divBdr>
    </w:div>
    <w:div w:id="1617255082">
      <w:bodyDiv w:val="1"/>
      <w:marLeft w:val="0"/>
      <w:marRight w:val="0"/>
      <w:marTop w:val="0"/>
      <w:marBottom w:val="0"/>
      <w:divBdr>
        <w:top w:val="none" w:sz="0" w:space="0" w:color="auto"/>
        <w:left w:val="none" w:sz="0" w:space="0" w:color="auto"/>
        <w:bottom w:val="none" w:sz="0" w:space="0" w:color="auto"/>
        <w:right w:val="none" w:sz="0" w:space="0" w:color="auto"/>
      </w:divBdr>
    </w:div>
    <w:div w:id="2006201486">
      <w:bodyDiv w:val="1"/>
      <w:marLeft w:val="0"/>
      <w:marRight w:val="0"/>
      <w:marTop w:val="0"/>
      <w:marBottom w:val="0"/>
      <w:divBdr>
        <w:top w:val="none" w:sz="0" w:space="0" w:color="auto"/>
        <w:left w:val="none" w:sz="0" w:space="0" w:color="auto"/>
        <w:bottom w:val="none" w:sz="0" w:space="0" w:color="auto"/>
        <w:right w:val="none" w:sz="0" w:space="0" w:color="auto"/>
      </w:divBdr>
      <w:divsChild>
        <w:div w:id="1001785281">
          <w:marLeft w:val="0"/>
          <w:marRight w:val="0"/>
          <w:marTop w:val="0"/>
          <w:marBottom w:val="0"/>
          <w:divBdr>
            <w:top w:val="none" w:sz="0" w:space="0" w:color="auto"/>
            <w:left w:val="none" w:sz="0" w:space="0" w:color="auto"/>
            <w:bottom w:val="none" w:sz="0" w:space="0" w:color="auto"/>
            <w:right w:val="none" w:sz="0" w:space="0" w:color="auto"/>
          </w:divBdr>
          <w:divsChild>
            <w:div w:id="132974550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sup.com.cn/teacher/1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376</Words>
  <Characters>2144</Characters>
  <Application>Microsoft Office Word</Application>
  <DocSecurity>0</DocSecurity>
  <Lines>17</Lines>
  <Paragraphs>5</Paragraphs>
  <ScaleCrop>false</ScaleCrop>
  <Company>SkyUN.Org</Company>
  <LinksUpToDate>false</LinksUpToDate>
  <CharactersWithSpaces>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9</cp:revision>
  <dcterms:created xsi:type="dcterms:W3CDTF">2014-02-28T01:42:00Z</dcterms:created>
  <dcterms:modified xsi:type="dcterms:W3CDTF">2014-02-28T05:53:00Z</dcterms:modified>
</cp:coreProperties>
</file>